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507694">
            <w:pPr>
              <w:jc w:val="both"/>
              <w:rPr>
                <w:rFonts w:ascii="David" w:hAnsi="David"/>
                <w:sz w:val="26"/>
                <w:szCs w:val="26"/>
              </w:rPr>
            </w:pPr>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שופטת, סגנית הנשיאה</w:t>
                </w:r>
              </w:sdtContent>
            </w:sdt>
            <w:r w:rsidR="00684E84" w:rsidRPr="00822550">
              <w:rPr>
                <w:rFonts w:ascii="David" w:hAnsi="David"/>
                <w:b/>
                <w:bCs/>
                <w:sz w:val="26"/>
                <w:szCs w:val="26"/>
                <w:rtl/>
              </w:rPr>
              <w:t xml:space="preserve">  </w:t>
            </w:r>
            <w:sdt>
              <w:sdtPr>
                <w:rPr>
                  <w:rFonts w:ascii="David" w:hAnsi="David"/>
                  <w:b/>
                  <w:bCs/>
                  <w:sz w:val="26"/>
                  <w:szCs w:val="26"/>
                  <w:rtl/>
                </w:rPr>
                <w:alias w:val="1573"/>
                <w:tag w:val="1573"/>
                <w:id w:val="-1715807626"/>
                <w:text w:multiLine="1"/>
              </w:sdtPr>
              <w:sdtEndPr/>
              <w:sdtContent>
                <w:r w:rsidR="00007E3E" w:rsidRPr="00A66841">
                  <w:rPr>
                    <w:rFonts w:ascii="David" w:hAnsi="David" w:hint="cs"/>
                    <w:b/>
                    <w:bCs/>
                    <w:sz w:val="26"/>
                    <w:szCs w:val="26"/>
                    <w:rtl/>
                  </w:rPr>
                  <w:t xml:space="preserve">יעל </w:t>
                </w:r>
                <w:r w:rsidRPr="00A66841">
                  <w:rPr>
                    <w:rFonts w:ascii="David" w:hAnsi="David"/>
                    <w:b/>
                    <w:bCs/>
                    <w:sz w:val="26"/>
                    <w:szCs w:val="26"/>
                    <w:rtl/>
                  </w:rPr>
                  <w:t>רז-לוי</w:t>
                </w:r>
              </w:sdtContent>
            </w:sdt>
          </w:p>
          <w:p w:rsidR="00507694" w:rsidRPr="00822550" w:rsidRDefault="00507694">
            <w:pPr>
              <w:rPr>
                <w:rFonts w:ascii="David" w:hAnsi="David"/>
                <w:sz w:val="26"/>
                <w:szCs w:val="26"/>
                <w:rtl/>
              </w:rPr>
            </w:pPr>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28455686"/>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2000793424"/>
                <w:text w:multiLine="1"/>
              </w:sdtPr>
              <w:sdtEndPr/>
              <w:sdtContent>
                <w:r w:rsidR="00007E3E">
                  <w:rPr>
                    <w:rFonts w:ascii="David" w:hAnsi="David" w:hint="cs"/>
                    <w:b/>
                    <w:bCs/>
                    <w:sz w:val="26"/>
                    <w:szCs w:val="26"/>
                    <w:rtl/>
                  </w:rPr>
                  <w:t xml:space="preserve">אהרון </w:t>
                </w:r>
                <w:r>
                  <w:rPr>
                    <w:rFonts w:ascii="David" w:hAnsi="David"/>
                    <w:b/>
                    <w:bCs/>
                    <w:sz w:val="26"/>
                    <w:szCs w:val="26"/>
                    <w:rtl/>
                  </w:rPr>
                  <w:t>משניות</w:t>
                </w:r>
              </w:sdtContent>
            </w:sdt>
          </w:p>
          <w:p w:rsidR="00507694" w:rsidRPr="00822550" w:rsidRDefault="00507694">
            <w:pPr>
              <w:rPr>
                <w:rFonts w:ascii="David" w:hAnsi="David"/>
                <w:sz w:val="26"/>
                <w:szCs w:val="26"/>
                <w:rtl/>
              </w:rPr>
            </w:pPr>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557512311"/>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662838476"/>
                <w:text w:multiLine="1"/>
              </w:sdtPr>
              <w:sdtEndPr/>
              <w:sdtContent>
                <w:r w:rsidR="00007E3E">
                  <w:rPr>
                    <w:rFonts w:ascii="David" w:hAnsi="David" w:hint="cs"/>
                    <w:b/>
                    <w:bCs/>
                    <w:sz w:val="26"/>
                    <w:szCs w:val="26"/>
                    <w:rtl/>
                  </w:rPr>
                  <w:t xml:space="preserve">רחל </w:t>
                </w:r>
                <w:r>
                  <w:rPr>
                    <w:rFonts w:ascii="David" w:hAnsi="David"/>
                    <w:b/>
                    <w:bCs/>
                    <w:sz w:val="26"/>
                    <w:szCs w:val="26"/>
                    <w:rtl/>
                  </w:rPr>
                  <w:t>תורן</w:t>
                </w:r>
              </w:sdtContent>
            </w:sdt>
          </w:p>
          <w:p w:rsidR="00507694" w:rsidRPr="00822550" w:rsidRDefault="00507694">
            <w:pPr>
              <w:rPr>
                <w:rFonts w:ascii="David" w:hAnsi="David"/>
                <w:sz w:val="26"/>
                <w:szCs w:val="26"/>
                <w:rtl/>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007E3E" w:rsidRDefault="00C27368"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p>
          <w:p w:rsidR="000F2247" w:rsidRDefault="009705CC" w:rsidP="00007E3E">
            <w:pPr>
              <w:suppressLineNumbers/>
            </w:pPr>
            <w:r>
              <w:rPr>
                <w:rFonts w:ascii="Arial" w:hAnsi="Arial"/>
                <w:b/>
                <w:bCs/>
                <w:sz w:val="26"/>
                <w:szCs w:val="26"/>
                <w:rtl/>
              </w:rPr>
              <w:t xml:space="preserve">ע"י </w:t>
            </w:r>
            <w:r w:rsidR="00007E3E">
              <w:rPr>
                <w:rFonts w:ascii="Arial" w:hAnsi="Arial" w:hint="cs"/>
                <w:b/>
                <w:bCs/>
                <w:sz w:val="26"/>
                <w:szCs w:val="26"/>
                <w:rtl/>
              </w:rPr>
              <w:t xml:space="preserve">פמ"ד - </w:t>
            </w:r>
            <w:r>
              <w:rPr>
                <w:rFonts w:ascii="Arial" w:hAnsi="Arial"/>
                <w:b/>
                <w:bCs/>
                <w:sz w:val="26"/>
                <w:szCs w:val="26"/>
                <w:rtl/>
              </w:rPr>
              <w:t>עו"ד</w:t>
            </w:r>
            <w:r w:rsidR="00007E3E">
              <w:rPr>
                <w:rFonts w:ascii="Arial" w:hAnsi="Arial" w:hint="cs"/>
                <w:b/>
                <w:bCs/>
                <w:sz w:val="26"/>
                <w:szCs w:val="26"/>
                <w:rtl/>
              </w:rPr>
              <w:t xml:space="preserve"> שרון שוורץ</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נאשמים</w:t>
                </w:r>
              </w:sdtContent>
            </w:sdt>
          </w:p>
        </w:tc>
        <w:tc>
          <w:tcPr>
            <w:tcW w:w="4678" w:type="dxa"/>
            <w:tcBorders>
              <w:top w:val="nil"/>
              <w:left w:val="nil"/>
              <w:bottom w:val="nil"/>
              <w:right w:val="nil"/>
            </w:tcBorders>
            <w:vAlign w:val="center"/>
          </w:tcPr>
          <w:p w:rsidR="00007E3E" w:rsidRDefault="00C27368" w:rsidP="000F2247">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Pr>
                    <w:rFonts w:ascii="Arial" w:hAnsi="Arial"/>
                    <w:b/>
                    <w:bCs/>
                    <w:sz w:val="26"/>
                    <w:szCs w:val="26"/>
                    <w:rtl/>
                  </w:rPr>
                  <w:t>ברנרד אמיר יהוד</w:t>
                </w:r>
                <w:r w:rsidR="00007E3E">
                  <w:rPr>
                    <w:rFonts w:ascii="Arial" w:hAnsi="Arial" w:hint="cs"/>
                    <w:b/>
                    <w:bCs/>
                    <w:sz w:val="26"/>
                    <w:szCs w:val="26"/>
                    <w:rtl/>
                  </w:rPr>
                  <w:t>ה</w:t>
                </w:r>
                <w:r w:rsidR="00D33BE7">
                  <w:rPr>
                    <w:rFonts w:ascii="Arial" w:hAnsi="Arial"/>
                    <w:b/>
                    <w:bCs/>
                    <w:sz w:val="26"/>
                    <w:szCs w:val="26"/>
                    <w:rtl/>
                  </w:rPr>
                  <w:t xml:space="preserve"> חזן</w:t>
                </w:r>
              </w:sdtContent>
            </w:sdt>
            <w:r w:rsidR="009705CC">
              <w:rPr>
                <w:rFonts w:ascii="Arial" w:hAnsi="Arial" w:hint="cs"/>
                <w:b/>
                <w:bCs/>
                <w:sz w:val="26"/>
                <w:szCs w:val="26"/>
                <w:rtl/>
              </w:rPr>
              <w:t xml:space="preserve"> </w:t>
            </w:r>
          </w:p>
          <w:p w:rsidR="000F2247" w:rsidRPr="00007E3E" w:rsidRDefault="00007E3E" w:rsidP="000F2247">
            <w:pPr>
              <w:suppressLineNumbers/>
              <w:rPr>
                <w:b/>
                <w:bCs/>
              </w:rPr>
            </w:pPr>
            <w:r>
              <w:rPr>
                <w:rFonts w:ascii="Arial" w:hAnsi="Arial"/>
                <w:b/>
                <w:bCs/>
                <w:sz w:val="26"/>
                <w:szCs w:val="26"/>
                <w:rtl/>
              </w:rPr>
              <w:t>ע"י ב"כ עו</w:t>
            </w:r>
            <w:r w:rsidR="009705CC">
              <w:rPr>
                <w:rFonts w:ascii="Arial" w:hAnsi="Arial"/>
                <w:b/>
                <w:bCs/>
                <w:sz w:val="26"/>
                <w:szCs w:val="26"/>
                <w:rtl/>
              </w:rPr>
              <w:t>"</w:t>
            </w:r>
            <w:r w:rsidR="009705CC" w:rsidRPr="00007E3E">
              <w:rPr>
                <w:rFonts w:ascii="Arial" w:hAnsi="Arial"/>
                <w:b/>
                <w:bCs/>
                <w:sz w:val="26"/>
                <w:szCs w:val="26"/>
                <w:rtl/>
              </w:rPr>
              <w:t>ד</w:t>
            </w:r>
            <w:r w:rsidRPr="00007E3E">
              <w:rPr>
                <w:rFonts w:hint="cs"/>
                <w:b/>
                <w:bCs/>
                <w:rtl/>
              </w:rPr>
              <w:t xml:space="preserve"> יוסי בוקר</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Default="00684E84">
            <w:pPr>
              <w:jc w:val="center"/>
              <w:rPr>
                <w:rFonts w:ascii="David" w:hAnsi="David"/>
                <w:sz w:val="32"/>
                <w:szCs w:val="32"/>
                <w:u w:val="single"/>
                <w:rtl/>
              </w:rPr>
            </w:pPr>
            <w:r w:rsidRPr="000454A8">
              <w:rPr>
                <w:rFonts w:ascii="David" w:hAnsi="David"/>
                <w:b/>
                <w:bCs/>
                <w:sz w:val="32"/>
                <w:szCs w:val="32"/>
                <w:u w:val="single"/>
                <w:rtl/>
              </w:rPr>
              <w:t>גזר דין</w:t>
            </w:r>
          </w:p>
          <w:p w:rsidR="008E2D55" w:rsidRPr="008E2D55" w:rsidRDefault="008E2D55" w:rsidP="008E2D55">
            <w:pPr>
              <w:jc w:val="center"/>
              <w:rPr>
                <w:rFonts w:ascii="David" w:hAnsi="David"/>
                <w:rtl/>
              </w:rPr>
            </w:pPr>
            <w:r w:rsidRPr="008E2D55">
              <w:rPr>
                <w:rFonts w:ascii="David" w:hAnsi="David" w:hint="cs"/>
                <w:rtl/>
              </w:rPr>
              <w:t>(עותק מותר לפרסום)</w:t>
            </w:r>
          </w:p>
        </w:tc>
      </w:tr>
    </w:tbl>
    <w:p w:rsidR="00507694" w:rsidRPr="000F2247" w:rsidRDefault="00507694">
      <w:pPr>
        <w:rPr>
          <w:rFonts w:ascii="Arial" w:hAnsi="Arial"/>
          <w:b/>
          <w:bCs/>
          <w:sz w:val="26"/>
          <w:szCs w:val="26"/>
          <w:rtl/>
        </w:rPr>
      </w:pPr>
    </w:p>
    <w:p w:rsidR="00007E3E" w:rsidRPr="00007E3E" w:rsidRDefault="00007E3E" w:rsidP="004971C7">
      <w:pPr>
        <w:spacing w:line="360" w:lineRule="auto"/>
        <w:jc w:val="both"/>
        <w:rPr>
          <w:rFonts w:ascii="David" w:hAnsi="David"/>
          <w:b/>
          <w:bCs/>
          <w:u w:val="single"/>
          <w:rtl/>
        </w:rPr>
      </w:pPr>
      <w:r>
        <w:rPr>
          <w:rFonts w:ascii="David" w:hAnsi="David" w:hint="cs"/>
          <w:b/>
          <w:bCs/>
          <w:u w:val="single"/>
          <w:rtl/>
        </w:rPr>
        <w:t xml:space="preserve">בהתאם להחלטתנו מיום 30.5.24, </w:t>
      </w:r>
      <w:r w:rsidRPr="00007E3E">
        <w:rPr>
          <w:rFonts w:ascii="David" w:hAnsi="David"/>
          <w:b/>
          <w:bCs/>
          <w:u w:val="single"/>
          <w:rtl/>
        </w:rPr>
        <w:t xml:space="preserve">ניתן לפרסם את גזר הדין, </w:t>
      </w:r>
      <w:r w:rsidR="00585BE5">
        <w:rPr>
          <w:rFonts w:ascii="David" w:hAnsi="David" w:hint="cs"/>
          <w:b/>
          <w:bCs/>
          <w:u w:val="single"/>
          <w:rtl/>
        </w:rPr>
        <w:t>ממ</w:t>
      </w:r>
      <w:r w:rsidR="004971C7">
        <w:rPr>
          <w:rFonts w:ascii="David" w:hAnsi="David" w:hint="cs"/>
          <w:b/>
          <w:bCs/>
          <w:u w:val="single"/>
          <w:rtl/>
        </w:rPr>
        <w:t xml:space="preserve">נו הושמטו פרטים אישיים מסוימים </w:t>
      </w:r>
      <w:r w:rsidR="00585BE5">
        <w:rPr>
          <w:rFonts w:ascii="David" w:hAnsi="David" w:hint="cs"/>
          <w:b/>
          <w:bCs/>
          <w:u w:val="single"/>
          <w:rtl/>
        </w:rPr>
        <w:t>שיסומנו</w:t>
      </w:r>
      <w:r w:rsidR="004971C7">
        <w:rPr>
          <w:rFonts w:ascii="David" w:hAnsi="David" w:hint="cs"/>
          <w:b/>
          <w:bCs/>
          <w:u w:val="single"/>
          <w:rtl/>
        </w:rPr>
        <w:t xml:space="preserve"> להלן (</w:t>
      </w:r>
      <w:r w:rsidR="00585BE5">
        <w:rPr>
          <w:rFonts w:ascii="David" w:hAnsi="David" w:hint="cs"/>
          <w:b/>
          <w:bCs/>
          <w:u w:val="single"/>
          <w:rtl/>
        </w:rPr>
        <w:t>"</w:t>
      </w:r>
      <w:r w:rsidR="004971C7">
        <w:rPr>
          <w:rFonts w:ascii="David" w:hAnsi="David" w:hint="cs"/>
          <w:b/>
          <w:bCs/>
          <w:u w:val="single"/>
          <w:rtl/>
        </w:rPr>
        <w:t>...</w:t>
      </w:r>
      <w:r w:rsidR="00585BE5">
        <w:rPr>
          <w:rFonts w:ascii="David" w:hAnsi="David" w:hint="cs"/>
          <w:b/>
          <w:bCs/>
          <w:u w:val="single"/>
          <w:rtl/>
        </w:rPr>
        <w:t xml:space="preserve">"), </w:t>
      </w:r>
      <w:r w:rsidRPr="00007E3E">
        <w:rPr>
          <w:rFonts w:ascii="David" w:hAnsi="David"/>
          <w:b/>
          <w:bCs/>
          <w:u w:val="single"/>
          <w:rtl/>
        </w:rPr>
        <w:t>כאשר חל איסור פרסום על כל פרט מזהה בנוגע למתלוננות, לרבות שמן ומקום מגוריהן.</w:t>
      </w:r>
    </w:p>
    <w:p w:rsidR="00007E3E" w:rsidRPr="00007E3E" w:rsidRDefault="00007E3E" w:rsidP="00007E3E">
      <w:pPr>
        <w:spacing w:line="360" w:lineRule="auto"/>
        <w:jc w:val="both"/>
        <w:rPr>
          <w:rFonts w:ascii="David" w:hAnsi="David"/>
          <w:b/>
          <w:bCs/>
          <w:u w:val="single"/>
        </w:rPr>
      </w:pPr>
    </w:p>
    <w:p w:rsidR="00007E3E" w:rsidRPr="00007E3E" w:rsidRDefault="00007E3E" w:rsidP="00007E3E">
      <w:pPr>
        <w:spacing w:line="360" w:lineRule="auto"/>
        <w:jc w:val="both"/>
        <w:rPr>
          <w:rFonts w:ascii="David" w:hAnsi="David"/>
          <w:b/>
          <w:bCs/>
          <w:u w:val="single"/>
          <w:rtl/>
        </w:rPr>
      </w:pPr>
      <w:r w:rsidRPr="00007E3E">
        <w:rPr>
          <w:rFonts w:ascii="David" w:hAnsi="David"/>
          <w:b/>
          <w:bCs/>
          <w:u w:val="single"/>
          <w:rtl/>
        </w:rPr>
        <w:t>השופטת ר. תורן:</w:t>
      </w:r>
    </w:p>
    <w:p w:rsidR="00007E3E" w:rsidRPr="00007E3E" w:rsidRDefault="00007E3E" w:rsidP="00007E3E">
      <w:pPr>
        <w:spacing w:line="360" w:lineRule="auto"/>
        <w:jc w:val="both"/>
        <w:rPr>
          <w:rFonts w:ascii="David" w:hAnsi="David"/>
          <w:rtl/>
        </w:rPr>
      </w:pPr>
      <w:r w:rsidRPr="00007E3E">
        <w:rPr>
          <w:rFonts w:ascii="David" w:hAnsi="David"/>
          <w:rtl/>
        </w:rPr>
        <w:t>בתאריך 04.02.2024, לאחר שהצדדים הגיעו להסדר טיעון, הודה הנאשם והורשע בכתב אישום מתוקן המייחס לו ביצוע שורת עבירות מין בשתי קטינות ובצעירה נוספת בת 19.</w:t>
      </w:r>
    </w:p>
    <w:p w:rsidR="00007E3E" w:rsidRPr="00007E3E" w:rsidRDefault="00007E3E" w:rsidP="00007E3E">
      <w:pPr>
        <w:spacing w:line="360" w:lineRule="auto"/>
        <w:jc w:val="both"/>
        <w:rPr>
          <w:rFonts w:ascii="David" w:hAnsi="David"/>
          <w:rtl/>
        </w:rPr>
      </w:pPr>
    </w:p>
    <w:p w:rsidR="00007E3E" w:rsidRPr="00007E3E" w:rsidRDefault="00007E3E" w:rsidP="00007E3E">
      <w:pPr>
        <w:spacing w:line="360" w:lineRule="auto"/>
        <w:jc w:val="both"/>
        <w:rPr>
          <w:rFonts w:ascii="David" w:hAnsi="David"/>
          <w:rtl/>
        </w:rPr>
      </w:pPr>
      <w:r w:rsidRPr="00007E3E">
        <w:rPr>
          <w:rFonts w:ascii="David" w:hAnsi="David"/>
          <w:rtl/>
        </w:rPr>
        <w:t>באישום הראשון הורשע בעבירה של מעשה מגונה לפי סעיף 348(ג) לחוק העונשין התשל"ז-1977 (להלן: "חוק העונשין"), באישום השני הורשע במספר עבירות של מעשה סדום בקטינה מעל לגיל 16 תוך ניצול יחסי תלות, מרות, חינוך והשגחה לפי סעיף 347(א)(1) סיפא לחוק העונשין, מספר עבירות של בעילה אסורה בהסכמה בקטינה מעל לגיל 16 תוך ניצול יחסי תלות, מרות, חינוך והשגחה לפי סעיף 346(א)(1) סיפא לחוק העונשין, וכן בעבירה של מעשה מגונה לפי סעיף 348(ד)(1). באישום השלישי הורשע בעבירה של מעשה מגונה לפי סעיף 348(ד)(1) לחוק העונשין, ובמספר עבירות של מעשה סדום בקטינה מעל גיל 14 ומתחת לגיל 16 לפי סעיף 347(א)(1) לחוק העונשין.</w:t>
      </w:r>
    </w:p>
    <w:p w:rsidR="00007E3E" w:rsidRPr="00007E3E" w:rsidRDefault="00007E3E" w:rsidP="00007E3E">
      <w:pPr>
        <w:spacing w:line="360" w:lineRule="auto"/>
        <w:jc w:val="both"/>
        <w:rPr>
          <w:rFonts w:ascii="David" w:hAnsi="David"/>
          <w:rtl/>
        </w:rPr>
      </w:pPr>
    </w:p>
    <w:p w:rsidR="00007E3E" w:rsidRPr="00007E3E" w:rsidRDefault="00007E3E" w:rsidP="00007E3E">
      <w:pPr>
        <w:spacing w:line="360" w:lineRule="auto"/>
        <w:jc w:val="both"/>
        <w:rPr>
          <w:rFonts w:ascii="David" w:hAnsi="David"/>
          <w:rtl/>
        </w:rPr>
      </w:pPr>
      <w:r w:rsidRPr="00007E3E">
        <w:rPr>
          <w:rFonts w:ascii="David" w:hAnsi="David"/>
          <w:rtl/>
        </w:rPr>
        <w:lastRenderedPageBreak/>
        <w:t>באשר לעונש, הוסכם בין הצדדים כי המאשימה תטען לעונש של 7 שנות מאסר לריצוי בפועל בניכוי ימי מעצרו, וכי ההגנה תהיה חופשית בטיעוניה. כמו כן הוסכם שיוטל על הנאשם מאסר על תנאי, וכן פיצוי כספי לנפגעות העבירה ששיעורו ייקבע בהתאם לשיקול דעת בית המשפט.</w:t>
      </w:r>
    </w:p>
    <w:p w:rsidR="00585BE5" w:rsidRDefault="00585BE5" w:rsidP="00007E3E">
      <w:pPr>
        <w:spacing w:line="360" w:lineRule="auto"/>
        <w:jc w:val="both"/>
        <w:rPr>
          <w:rFonts w:ascii="David" w:hAnsi="David"/>
          <w:b/>
          <w:bCs/>
          <w:u w:val="single"/>
          <w:rtl/>
        </w:rPr>
      </w:pPr>
    </w:p>
    <w:p w:rsidR="00007E3E" w:rsidRPr="00007E3E" w:rsidRDefault="00007E3E" w:rsidP="00007E3E">
      <w:pPr>
        <w:spacing w:line="360" w:lineRule="auto"/>
        <w:jc w:val="both"/>
        <w:rPr>
          <w:rFonts w:ascii="David" w:hAnsi="David"/>
          <w:b/>
          <w:bCs/>
          <w:u w:val="single"/>
          <w:rtl/>
        </w:rPr>
      </w:pPr>
      <w:r w:rsidRPr="00007E3E">
        <w:rPr>
          <w:rFonts w:ascii="David" w:hAnsi="David"/>
          <w:b/>
          <w:bCs/>
          <w:u w:val="single"/>
          <w:rtl/>
        </w:rPr>
        <w:t>פרטי האישומים בהם הורשע הנאשם</w:t>
      </w:r>
    </w:p>
    <w:p w:rsidR="00007E3E" w:rsidRPr="00007E3E" w:rsidRDefault="00007E3E" w:rsidP="00007E3E">
      <w:pPr>
        <w:spacing w:line="360" w:lineRule="auto"/>
        <w:jc w:val="both"/>
        <w:rPr>
          <w:rFonts w:ascii="David" w:hAnsi="David"/>
          <w:rtl/>
        </w:rPr>
      </w:pPr>
      <w:r w:rsidRPr="00007E3E">
        <w:rPr>
          <w:rFonts w:ascii="David" w:hAnsi="David"/>
          <w:rtl/>
        </w:rPr>
        <w:t xml:space="preserve">על פי הפרק הכללי בכתב האישום המתוקן בו הודה הנאשם: בין השנים 2018-2022 או בסמוך לכך, היה הנאשם מנהל קרקס, והעביר אימוני קרקס. במסגרת פעילותו אימן קטינות ובנות צעירות בגילים שונים וביניהן המתלוננות, והיווה דמות מרכזית ומשפיעה עבור המתלוננות הן בתחום המקצועי והן בתחום האישי, והן בילו במחיצתו שעות ארוכות. הנאשם אימן את המתלוננות, קבע כללי התנהגות, תכניות אימונים, הסיע את המתלוננות למופעים ותיאם עבורן מופעים. לאורך הקשר ביניהם ניצל הנאשם את תפקידו ומעמדו המקצועי בעיני המתלוננות תוך שהוא דואג ליצור מערכת יחסים קרובה ותלותית שלהן בו והכול לשם ניצולן המיני על ידו. </w:t>
      </w:r>
    </w:p>
    <w:p w:rsidR="00007E3E" w:rsidRPr="00007E3E" w:rsidRDefault="00007E3E" w:rsidP="00007E3E">
      <w:pPr>
        <w:spacing w:line="360" w:lineRule="auto"/>
        <w:jc w:val="both"/>
        <w:rPr>
          <w:rFonts w:ascii="David" w:hAnsi="David"/>
          <w:rtl/>
        </w:rPr>
      </w:pPr>
      <w:r w:rsidRPr="00007E3E">
        <w:rPr>
          <w:rFonts w:ascii="David" w:hAnsi="David"/>
          <w:rtl/>
        </w:rPr>
        <w:t>פרט האישום השלישי מתייחס לתקופה שהנאשם חי בחו"ל אך הגיע ארצה להופיע בקרקס אחר והכיר את המתלוננת באותו פרק זמן.</w:t>
      </w:r>
    </w:p>
    <w:p w:rsidR="00007E3E" w:rsidRPr="00007E3E" w:rsidRDefault="00007E3E" w:rsidP="00007E3E">
      <w:pPr>
        <w:spacing w:line="360" w:lineRule="auto"/>
        <w:jc w:val="both"/>
        <w:rPr>
          <w:rFonts w:ascii="David" w:hAnsi="David"/>
          <w:u w:val="single"/>
          <w:rtl/>
        </w:rPr>
      </w:pPr>
    </w:p>
    <w:p w:rsidR="00007E3E" w:rsidRPr="00007E3E" w:rsidRDefault="00007E3E" w:rsidP="00007E3E">
      <w:pPr>
        <w:spacing w:line="360" w:lineRule="auto"/>
        <w:jc w:val="both"/>
        <w:rPr>
          <w:rFonts w:ascii="David" w:hAnsi="David"/>
          <w:u w:val="single"/>
          <w:rtl/>
        </w:rPr>
      </w:pPr>
      <w:r w:rsidRPr="00007E3E">
        <w:rPr>
          <w:rFonts w:ascii="David" w:hAnsi="David"/>
          <w:u w:val="single"/>
          <w:rtl/>
        </w:rPr>
        <w:t>האישום הראשון</w:t>
      </w:r>
    </w:p>
    <w:p w:rsidR="00007E3E" w:rsidRPr="00007E3E" w:rsidRDefault="00007E3E" w:rsidP="000B6F7D">
      <w:pPr>
        <w:spacing w:line="360" w:lineRule="auto"/>
        <w:jc w:val="both"/>
        <w:rPr>
          <w:rFonts w:ascii="David" w:hAnsi="David"/>
          <w:rtl/>
        </w:rPr>
      </w:pPr>
      <w:r w:rsidRPr="00007E3E">
        <w:rPr>
          <w:rFonts w:ascii="David" w:hAnsi="David"/>
          <w:rtl/>
        </w:rPr>
        <w:t xml:space="preserve">בשנת 2020 במסגרת תפקידו ופעילותו אימן הנאשם את נ' </w:t>
      </w:r>
      <w:r w:rsidR="004971C7">
        <w:rPr>
          <w:rFonts w:ascii="David" w:hAnsi="David" w:hint="cs"/>
          <w:rtl/>
        </w:rPr>
        <w:t>(...)</w:t>
      </w:r>
      <w:r w:rsidRPr="00007E3E">
        <w:rPr>
          <w:rFonts w:ascii="David" w:hAnsi="David"/>
          <w:rtl/>
        </w:rPr>
        <w:t>(להלן: "נ'"). השניים הכירו במהלך חודש פברואר 2020 בפארק בעיר בדרום כאשר הייתה נ' כבת 19.</w:t>
      </w:r>
    </w:p>
    <w:p w:rsidR="00007E3E" w:rsidRPr="00007E3E" w:rsidRDefault="00007E3E" w:rsidP="00007E3E">
      <w:pPr>
        <w:spacing w:line="360" w:lineRule="auto"/>
        <w:jc w:val="both"/>
        <w:rPr>
          <w:rFonts w:ascii="David" w:hAnsi="David"/>
          <w:rtl/>
        </w:rPr>
      </w:pPr>
      <w:r w:rsidRPr="00007E3E">
        <w:rPr>
          <w:rFonts w:ascii="David" w:hAnsi="David"/>
          <w:rtl/>
        </w:rPr>
        <w:t>נ' התעניינה בלימודי קרקס והנאשם הזמין אותה להגיע לאימון. במהלך חודש פברואר 2020 יצר עמה קשר וביקש ממנה להגיע לאימון ואמר לה שעליה לבחור תלבושת להופעה. נ' נענתה בחיוב והנאשם הגיע לאסוף אותה מביתה אל "לופט" בו היה מאמן, מפיק קטעים למופעים ומאחסן ציוד ותלבושות. מיד לאחר מכן עלו הנאשם ונ' לקומה השנייה בלופט למדוד תלבושות לבקשת הנאשם. במעמד זה ובעודה מודדת בגדים, ביקשה נ' מהנאשם שיסתובב על מנת שלא יצפה בה מתלבשת, בתגובה אמר לה הנאשם כי זה נורמלי שהיא תתפשט לידו ושזה בסדר שיראה אותה עירומה וכי הוא אדם מקצועי. נ' עשתה כדבריו ונותרה עירומה כאשר רק תחתונים לגופה, כל אותה העת הנאשם הביט בה תוך שהוא מחמיא לה על גופה.</w:t>
      </w:r>
    </w:p>
    <w:p w:rsidR="00007E3E" w:rsidRPr="00007E3E" w:rsidRDefault="00007E3E" w:rsidP="00007E3E">
      <w:pPr>
        <w:spacing w:line="360" w:lineRule="auto"/>
        <w:jc w:val="both"/>
        <w:rPr>
          <w:rFonts w:ascii="David" w:hAnsi="David"/>
          <w:rtl/>
        </w:rPr>
      </w:pPr>
      <w:r w:rsidRPr="00007E3E">
        <w:rPr>
          <w:rFonts w:ascii="David" w:hAnsi="David"/>
          <w:rtl/>
        </w:rPr>
        <w:t>בסמוך לאחר מכן, כשמדדה את התלבושת האחרונה, בעוד הנאשם לא מסכים להסתובב והמשיך להביט בה כשהיא עירומה, ועמדה כשגבה מופנה אל הנאשם, ניגש הנאשם אל נ', סובב אותה אליו, התקרב אליה, נגע וליטף אותה בשערה, בכתפיה, בצווארה ובמותניה תוך שהוא אומר לה שיש לה חזה וישבן יפים. כתוצאה ממעשי הנאשם, קפאה נ' במקומה וחשה פחד מהנאשם. הנאשם ביצע מעשים אלו לשם גירוי, סיפוק וביזוי מיני שלא בהסכמתה ומכאן הורשע באישום זה בעבירה של מעשה מגונה לפי סעיף 348(ג) לחוק העונשין.</w:t>
      </w:r>
    </w:p>
    <w:p w:rsidR="00007E3E" w:rsidRDefault="00007E3E" w:rsidP="00007E3E">
      <w:pPr>
        <w:spacing w:line="360" w:lineRule="auto"/>
        <w:jc w:val="both"/>
        <w:rPr>
          <w:rFonts w:ascii="David" w:hAnsi="David"/>
          <w:u w:val="single"/>
          <w:rtl/>
        </w:rPr>
      </w:pPr>
    </w:p>
    <w:p w:rsidR="00A66841" w:rsidRPr="00007E3E" w:rsidRDefault="00A66841" w:rsidP="00007E3E">
      <w:pPr>
        <w:spacing w:line="360" w:lineRule="auto"/>
        <w:jc w:val="both"/>
        <w:rPr>
          <w:rFonts w:ascii="David" w:hAnsi="David"/>
          <w:u w:val="single"/>
          <w:rtl/>
        </w:rPr>
      </w:pPr>
    </w:p>
    <w:p w:rsidR="00007E3E" w:rsidRPr="00007E3E" w:rsidRDefault="00007E3E" w:rsidP="00007E3E">
      <w:pPr>
        <w:spacing w:line="360" w:lineRule="auto"/>
        <w:jc w:val="both"/>
        <w:rPr>
          <w:rFonts w:ascii="David" w:hAnsi="David"/>
          <w:u w:val="single"/>
          <w:rtl/>
        </w:rPr>
      </w:pPr>
      <w:r w:rsidRPr="00007E3E">
        <w:rPr>
          <w:rFonts w:ascii="David" w:hAnsi="David"/>
          <w:u w:val="single"/>
          <w:rtl/>
        </w:rPr>
        <w:lastRenderedPageBreak/>
        <w:t xml:space="preserve">האישום השני </w:t>
      </w:r>
    </w:p>
    <w:p w:rsidR="00007E3E" w:rsidRPr="00007E3E" w:rsidRDefault="00007E3E" w:rsidP="000B6F7D">
      <w:pPr>
        <w:spacing w:line="360" w:lineRule="auto"/>
        <w:jc w:val="both"/>
        <w:rPr>
          <w:rFonts w:ascii="David" w:hAnsi="David"/>
          <w:rtl/>
        </w:rPr>
      </w:pPr>
      <w:r w:rsidRPr="00007E3E">
        <w:rPr>
          <w:rFonts w:ascii="David" w:hAnsi="David"/>
          <w:rtl/>
        </w:rPr>
        <w:t xml:space="preserve">בין השנים 2017-2019 במסגרת תפקידו ופעילותו, אימן הנאשם את א' </w:t>
      </w:r>
      <w:r w:rsidR="004971C7">
        <w:rPr>
          <w:rFonts w:ascii="David" w:hAnsi="David" w:hint="cs"/>
          <w:rtl/>
        </w:rPr>
        <w:t xml:space="preserve">(...) </w:t>
      </w:r>
      <w:r w:rsidRPr="00007E3E">
        <w:rPr>
          <w:rFonts w:ascii="David" w:hAnsi="David"/>
          <w:rtl/>
        </w:rPr>
        <w:t>שהייתה באותה העת קטינה (להלן :"א'"). בשלב כלשהו כשהייתה קטינה בת 16, שימשה א' כאסיסטנטית של הנאשם במופעים שערך ברחבי הארץ.</w:t>
      </w:r>
    </w:p>
    <w:p w:rsidR="00007E3E" w:rsidRPr="00007E3E" w:rsidRDefault="00007E3E" w:rsidP="00007E3E">
      <w:pPr>
        <w:spacing w:line="360" w:lineRule="auto"/>
        <w:jc w:val="both"/>
        <w:rPr>
          <w:rFonts w:ascii="David" w:hAnsi="David"/>
          <w:rtl/>
        </w:rPr>
      </w:pPr>
      <w:r w:rsidRPr="00007E3E">
        <w:rPr>
          <w:rFonts w:ascii="David" w:hAnsi="David"/>
          <w:rtl/>
        </w:rPr>
        <w:t>במועד שאינו ידוע במדויק, באחד הפארקים בעיר מגורי הנאשם, רכבו הנאשם וא' על 'רולרבליידס'. הם עצרו בפארק, הנאשם פנה אליה ואמר לה שהוא "נמשך אליה וקשה לו להחזיק את עצמו", ואז חיבק אותה ונישק אותה על שפתיה, הכול לשם גירוי, סיפוק וביזוי מיניים, תוך ניצול יחסי תלות, מרות, עבודה או שירות.</w:t>
      </w:r>
    </w:p>
    <w:p w:rsidR="00007E3E" w:rsidRPr="00007E3E" w:rsidRDefault="00007E3E" w:rsidP="00007E3E">
      <w:pPr>
        <w:spacing w:line="360" w:lineRule="auto"/>
        <w:jc w:val="both"/>
        <w:rPr>
          <w:rFonts w:ascii="David" w:hAnsi="David"/>
          <w:rtl/>
        </w:rPr>
      </w:pPr>
      <w:r w:rsidRPr="00007E3E">
        <w:rPr>
          <w:rFonts w:ascii="David" w:hAnsi="David"/>
          <w:rtl/>
        </w:rPr>
        <w:t>במספר מועדים במקומות נוספים אשר אינם ידועים במדויק, עת הייתה א' קטינה מעל גיל 16, היה יוזם עמה הנאשם מפגשים, במהלכם קיימו יחסי מין, והנאשם היה מבצע בה מין אוראלי, ולבקשתו, הייתה א' מבצעת בו מין אוראלי. כל זאת עשה תוך ניצול יחסי תלות, מרות, חינוך, השגחה, עבודה או שירות.</w:t>
      </w:r>
    </w:p>
    <w:p w:rsidR="00007E3E" w:rsidRPr="00007E3E" w:rsidRDefault="00007E3E" w:rsidP="00007E3E">
      <w:pPr>
        <w:spacing w:line="360" w:lineRule="auto"/>
        <w:jc w:val="both"/>
        <w:rPr>
          <w:rFonts w:ascii="David" w:hAnsi="David"/>
          <w:rtl/>
        </w:rPr>
      </w:pPr>
      <w:r w:rsidRPr="00007E3E">
        <w:rPr>
          <w:rFonts w:ascii="David" w:hAnsi="David"/>
          <w:rtl/>
        </w:rPr>
        <w:t>במעשיו כאמור, במספר הזדמנויות בעל את א' וביצע בה מעשה סדום בהיותה קטינה שמלאו לה 16 שנים וטרם מלאו לה 18, תוך ניצול יחסי תלות, מרות, חינוך, השגחה או עבודה.</w:t>
      </w:r>
    </w:p>
    <w:p w:rsidR="00007E3E" w:rsidRPr="00007E3E" w:rsidRDefault="00007E3E" w:rsidP="00007E3E">
      <w:pPr>
        <w:spacing w:line="360" w:lineRule="auto"/>
        <w:jc w:val="both"/>
        <w:rPr>
          <w:rFonts w:ascii="David" w:hAnsi="David"/>
          <w:u w:val="single"/>
          <w:rtl/>
        </w:rPr>
      </w:pPr>
    </w:p>
    <w:p w:rsidR="00007E3E" w:rsidRPr="00007E3E" w:rsidRDefault="00007E3E" w:rsidP="00007E3E">
      <w:pPr>
        <w:spacing w:line="360" w:lineRule="auto"/>
        <w:jc w:val="both"/>
        <w:rPr>
          <w:rFonts w:ascii="David" w:hAnsi="David"/>
          <w:u w:val="single"/>
          <w:rtl/>
        </w:rPr>
      </w:pPr>
      <w:r w:rsidRPr="00007E3E">
        <w:rPr>
          <w:rFonts w:ascii="David" w:hAnsi="David"/>
          <w:u w:val="single"/>
          <w:rtl/>
        </w:rPr>
        <w:t>האישום השלישי</w:t>
      </w:r>
    </w:p>
    <w:p w:rsidR="00007E3E" w:rsidRPr="00007E3E" w:rsidRDefault="00007E3E" w:rsidP="00585BE5">
      <w:pPr>
        <w:spacing w:line="360" w:lineRule="auto"/>
        <w:jc w:val="both"/>
        <w:rPr>
          <w:rFonts w:ascii="David" w:hAnsi="David"/>
          <w:rtl/>
        </w:rPr>
      </w:pPr>
      <w:r w:rsidRPr="00007E3E">
        <w:rPr>
          <w:rFonts w:ascii="David" w:hAnsi="David"/>
          <w:rtl/>
        </w:rPr>
        <w:t xml:space="preserve">במהלך החודשים יולי-אוגוסט 2013 במסגרת תפקידו ופעילותו (בתקופה זו חי בחו"ל כאמור אך הגיע ארצה להופיע עם קרקס אחר – ר.ת.), הכיר הנאשם את כ' </w:t>
      </w:r>
      <w:r w:rsidR="004971C7">
        <w:rPr>
          <w:rFonts w:ascii="David" w:hAnsi="David" w:hint="cs"/>
          <w:rtl/>
        </w:rPr>
        <w:t>(...)</w:t>
      </w:r>
      <w:r w:rsidRPr="00007E3E">
        <w:rPr>
          <w:rFonts w:ascii="David" w:hAnsi="David"/>
          <w:rtl/>
        </w:rPr>
        <w:t>(להלן: "כ'"), שהייתה באותה העת קטינה.</w:t>
      </w:r>
    </w:p>
    <w:p w:rsidR="00007E3E" w:rsidRPr="00007E3E" w:rsidRDefault="00007E3E" w:rsidP="00007E3E">
      <w:pPr>
        <w:spacing w:line="360" w:lineRule="auto"/>
        <w:jc w:val="both"/>
        <w:rPr>
          <w:rFonts w:ascii="David" w:hAnsi="David"/>
          <w:rtl/>
        </w:rPr>
      </w:pPr>
      <w:r w:rsidRPr="00007E3E">
        <w:rPr>
          <w:rFonts w:ascii="David" w:hAnsi="David"/>
          <w:rtl/>
        </w:rPr>
        <w:t>הקשר בין השניים נוצר כאשר כ' התאמנה בקרקס אחר, לשם הגיע הנאשם לצורך הופעה משותפת. הוא ביקש ממנה לעזוב את הקרקס ולעבור להתאמן אתו והיא עשתה כן.</w:t>
      </w:r>
    </w:p>
    <w:p w:rsidR="00007E3E" w:rsidRPr="00007E3E" w:rsidRDefault="00007E3E" w:rsidP="00007E3E">
      <w:pPr>
        <w:spacing w:line="360" w:lineRule="auto"/>
        <w:jc w:val="both"/>
        <w:rPr>
          <w:rFonts w:ascii="David" w:hAnsi="David"/>
          <w:rtl/>
        </w:rPr>
      </w:pPr>
      <w:r w:rsidRPr="00007E3E">
        <w:rPr>
          <w:rFonts w:ascii="David" w:hAnsi="David"/>
          <w:rtl/>
        </w:rPr>
        <w:t>בין השניים נוצרו יחסי תלות, חינוך, מרות והשגחה באופן שהנאשם קבע את זמני האימונים, משכם ומקומם. כמו כן התווה הנאשם לו"ז להופעות ולקח עמו את כ' כאסיסטנטית באחד המופעים.</w:t>
      </w:r>
    </w:p>
    <w:p w:rsidR="00007E3E" w:rsidRPr="00007E3E" w:rsidRDefault="00007E3E" w:rsidP="00007E3E">
      <w:pPr>
        <w:spacing w:line="360" w:lineRule="auto"/>
        <w:jc w:val="both"/>
        <w:rPr>
          <w:rFonts w:ascii="David" w:hAnsi="David"/>
          <w:rtl/>
        </w:rPr>
      </w:pPr>
      <w:r w:rsidRPr="00007E3E">
        <w:rPr>
          <w:rFonts w:ascii="David" w:hAnsi="David"/>
          <w:rtl/>
        </w:rPr>
        <w:t>במהלך חודש יולי 2013 נסעו הנאשם וכ' לאולם ספורט בעיר בדרום. כ' סייעה לנאשם להכניס את הציוד לאולם. במעמד זה, לפני היציאה מהאולם, תפס הנאשם את כ' בידה הימנית, סובב אותה אליו ונישק אותה בפיה שלא בהסכמתה החופשית וזאת לשם גירוי, סיפוק או ביזוי מיניים, תוך ניצול יחסי תלות מרות עבודה או שירות. כ' הייתה המומה ולא הבינה את שארע.</w:t>
      </w:r>
    </w:p>
    <w:p w:rsidR="00007E3E" w:rsidRPr="00007E3E" w:rsidRDefault="00007E3E" w:rsidP="00007E3E">
      <w:pPr>
        <w:spacing w:line="360" w:lineRule="auto"/>
        <w:jc w:val="both"/>
        <w:rPr>
          <w:rFonts w:ascii="David" w:hAnsi="David"/>
          <w:rtl/>
        </w:rPr>
      </w:pPr>
      <w:r w:rsidRPr="00007E3E">
        <w:rPr>
          <w:rFonts w:ascii="David" w:hAnsi="David"/>
          <w:rtl/>
        </w:rPr>
        <w:t>במועד אחר שאינו ידוע למאשימה במדויק, היו הנאשם וכ' בבית אמו של הנאשם, בחדרו של הנאשם. במעמד זה, התנשקו הנאשם וכ', לאחר מכן הנאשם הוריד לכ' את החולצה ופשט את מכנסיו והיא ביצעה בו מין אוראלי. בהמשך לכך, במספר מועדים והזדמנויות שאינם ידועים למאשימה במדויק, במהלך שנת 2013, נישק הנאשם את כ' בסתר במקומות שונים וכן המשיך לבקש ממנה "למצוץ" את איבר מינו והיא עשתה כן.</w:t>
      </w:r>
    </w:p>
    <w:p w:rsidR="00007E3E" w:rsidRPr="00007E3E" w:rsidRDefault="00007E3E" w:rsidP="00007E3E">
      <w:pPr>
        <w:spacing w:line="360" w:lineRule="auto"/>
        <w:jc w:val="both"/>
        <w:rPr>
          <w:rFonts w:ascii="David" w:hAnsi="David"/>
          <w:rtl/>
        </w:rPr>
      </w:pPr>
      <w:r w:rsidRPr="00007E3E">
        <w:rPr>
          <w:rFonts w:ascii="David" w:hAnsi="David"/>
          <w:rtl/>
        </w:rPr>
        <w:lastRenderedPageBreak/>
        <w:t>במעשיו, ביצע הנאשם בכ' שהייתה קטינה מעל גיל 14, מעשים מגונים לצורך גירוי, סיפוק או ביזוי מיני תוך ניצול יחסי תלות, מרות, חינוך, השגחה, עבודה או שירות, וכן ביצע בה מעשה סדום כשהיא מעל גיל 14 אך טרם מלאו לה 16.</w:t>
      </w:r>
    </w:p>
    <w:p w:rsidR="00A66841" w:rsidRDefault="00A66841" w:rsidP="00007E3E">
      <w:pPr>
        <w:spacing w:line="360" w:lineRule="auto"/>
        <w:rPr>
          <w:rFonts w:ascii="David" w:hAnsi="David"/>
          <w:b/>
          <w:bCs/>
          <w:u w:val="single"/>
          <w:rtl/>
        </w:rPr>
      </w:pPr>
    </w:p>
    <w:p w:rsidR="00007E3E" w:rsidRPr="00007E3E" w:rsidRDefault="00007E3E" w:rsidP="00007E3E">
      <w:pPr>
        <w:spacing w:line="360" w:lineRule="auto"/>
        <w:rPr>
          <w:rFonts w:ascii="David" w:hAnsi="David"/>
          <w:b/>
          <w:bCs/>
          <w:u w:val="single"/>
          <w:rtl/>
        </w:rPr>
      </w:pPr>
      <w:r w:rsidRPr="00007E3E">
        <w:rPr>
          <w:rFonts w:ascii="David" w:hAnsi="David"/>
          <w:b/>
          <w:bCs/>
          <w:u w:val="single"/>
          <w:rtl/>
        </w:rPr>
        <w:t>הערכת מסוכנות מינית לנאשם</w:t>
      </w:r>
    </w:p>
    <w:p w:rsidR="00C42D4A" w:rsidRDefault="004971C7" w:rsidP="00007E3E">
      <w:pPr>
        <w:spacing w:line="360" w:lineRule="auto"/>
        <w:jc w:val="both"/>
        <w:rPr>
          <w:rFonts w:ascii="David" w:hAnsi="David"/>
          <w:rtl/>
        </w:rPr>
      </w:pPr>
      <w:r>
        <w:rPr>
          <w:rFonts w:ascii="David" w:hAnsi="David" w:hint="cs"/>
          <w:rtl/>
        </w:rPr>
        <w:t>(...)</w:t>
      </w:r>
    </w:p>
    <w:p w:rsidR="00007E3E" w:rsidRPr="00007E3E" w:rsidRDefault="00007E3E" w:rsidP="00007E3E">
      <w:pPr>
        <w:spacing w:line="360" w:lineRule="auto"/>
        <w:jc w:val="both"/>
        <w:rPr>
          <w:rFonts w:ascii="David" w:hAnsi="David"/>
          <w:rtl/>
        </w:rPr>
      </w:pPr>
      <w:r w:rsidRPr="00007E3E">
        <w:rPr>
          <w:rFonts w:ascii="David" w:hAnsi="David"/>
          <w:rtl/>
        </w:rPr>
        <w:t xml:space="preserve">על רקע האמור הוערכה מסוכנותו של הנאשם ברמה </w:t>
      </w:r>
      <w:r w:rsidRPr="00007E3E">
        <w:rPr>
          <w:rFonts w:ascii="David" w:hAnsi="David"/>
          <w:b/>
          <w:bCs/>
          <w:rtl/>
        </w:rPr>
        <w:t>בינונית-נמוכה</w:t>
      </w:r>
      <w:r w:rsidRPr="00007E3E">
        <w:rPr>
          <w:rFonts w:ascii="David" w:hAnsi="David"/>
          <w:rtl/>
        </w:rPr>
        <w:t xml:space="preserve">.  </w:t>
      </w:r>
    </w:p>
    <w:p w:rsidR="00007E3E" w:rsidRPr="00007E3E" w:rsidRDefault="00007E3E" w:rsidP="00007E3E">
      <w:pPr>
        <w:spacing w:line="360" w:lineRule="auto"/>
        <w:jc w:val="both"/>
        <w:rPr>
          <w:rFonts w:ascii="David" w:hAnsi="David"/>
          <w:b/>
          <w:bCs/>
          <w:u w:val="single"/>
          <w:rtl/>
        </w:rPr>
      </w:pPr>
    </w:p>
    <w:p w:rsidR="00007E3E" w:rsidRPr="00007E3E" w:rsidRDefault="00007E3E" w:rsidP="00007E3E">
      <w:pPr>
        <w:spacing w:line="360" w:lineRule="auto"/>
        <w:jc w:val="both"/>
        <w:rPr>
          <w:rFonts w:ascii="David" w:hAnsi="David"/>
          <w:b/>
          <w:bCs/>
          <w:u w:val="single"/>
          <w:rtl/>
        </w:rPr>
      </w:pPr>
      <w:r w:rsidRPr="00007E3E">
        <w:rPr>
          <w:rFonts w:ascii="David" w:hAnsi="David"/>
          <w:b/>
          <w:bCs/>
          <w:u w:val="single"/>
          <w:rtl/>
        </w:rPr>
        <w:t xml:space="preserve">ראיות לעונש                                                                                                       </w:t>
      </w:r>
    </w:p>
    <w:p w:rsidR="00007E3E" w:rsidRPr="00007E3E" w:rsidRDefault="00007E3E" w:rsidP="00007E3E">
      <w:pPr>
        <w:spacing w:line="360" w:lineRule="auto"/>
        <w:jc w:val="both"/>
        <w:rPr>
          <w:rFonts w:ascii="David" w:hAnsi="David"/>
          <w:rtl/>
        </w:rPr>
      </w:pPr>
      <w:r w:rsidRPr="00007E3E">
        <w:rPr>
          <w:rFonts w:ascii="David" w:hAnsi="David"/>
          <w:rtl/>
        </w:rPr>
        <w:t>מטעם המאשימה לא הוגשו ראיות לעונש.</w:t>
      </w:r>
    </w:p>
    <w:p w:rsidR="00007E3E" w:rsidRPr="00007E3E" w:rsidRDefault="00007E3E" w:rsidP="00007E3E">
      <w:pPr>
        <w:spacing w:line="360" w:lineRule="auto"/>
        <w:jc w:val="both"/>
        <w:rPr>
          <w:rFonts w:ascii="David" w:hAnsi="David"/>
          <w:rtl/>
        </w:rPr>
      </w:pPr>
      <w:r w:rsidRPr="00007E3E">
        <w:rPr>
          <w:rFonts w:ascii="David" w:hAnsi="David"/>
          <w:rtl/>
        </w:rPr>
        <w:t>מטעם ההגנה הוגשו אסופת מסמכים, ביניהם תעודת שחרור ותמונות הקשורות לשירותו הצבאי של הנאשם, תעודות ותמונות הקשורות ללימודי קורס ליצנות ולימודי קרקס, פרסים ותמונות מתקופת ההופעות של הנאשם ואשתו בחו"ל, תעודות והכשרות בתחום, כתבות שערכו על הנאשם, פרסים ותעודות הוקרה על פעילותו החברתית, מסמכים המעידים על מצבו הכלכלי הקשה כגון מסמכי שיעבוד, דף פירוט מחשבון הבנק ותצהיר מהבנק, תמונות של הנאשם מופיע ומקבץ נדבות בצמתים, תעודת זהות וספח, תעודת נכה של בנו האמצעי ומסמכים רפואיים בעניינו.</w:t>
      </w:r>
    </w:p>
    <w:p w:rsidR="00007E3E" w:rsidRPr="00007E3E" w:rsidRDefault="00007E3E" w:rsidP="00007E3E">
      <w:pPr>
        <w:spacing w:line="360" w:lineRule="auto"/>
        <w:jc w:val="both"/>
        <w:rPr>
          <w:rFonts w:ascii="David" w:hAnsi="David"/>
          <w:rtl/>
        </w:rPr>
      </w:pPr>
    </w:p>
    <w:p w:rsidR="00007E3E" w:rsidRPr="00007E3E" w:rsidRDefault="00007E3E" w:rsidP="00007E3E">
      <w:pPr>
        <w:spacing w:line="360" w:lineRule="auto"/>
        <w:jc w:val="both"/>
        <w:rPr>
          <w:rFonts w:ascii="David" w:hAnsi="David"/>
          <w:rtl/>
        </w:rPr>
      </w:pPr>
      <w:r w:rsidRPr="00007E3E">
        <w:rPr>
          <w:rFonts w:ascii="David" w:hAnsi="David"/>
          <w:rtl/>
        </w:rPr>
        <w:t>כמו כן העידו מטעם ההגנה שבעה עדי אופי:</w:t>
      </w:r>
    </w:p>
    <w:p w:rsidR="00007E3E" w:rsidRPr="00007E3E" w:rsidRDefault="00007E3E" w:rsidP="000B6F7D">
      <w:pPr>
        <w:spacing w:line="360" w:lineRule="auto"/>
        <w:jc w:val="both"/>
        <w:rPr>
          <w:rFonts w:ascii="David" w:hAnsi="David"/>
          <w:rtl/>
        </w:rPr>
      </w:pPr>
      <w:r w:rsidRPr="00007E3E">
        <w:rPr>
          <w:rFonts w:ascii="David" w:hAnsi="David"/>
          <w:rtl/>
        </w:rPr>
        <w:t>ס</w:t>
      </w:r>
      <w:r w:rsidR="000B6F7D">
        <w:rPr>
          <w:rFonts w:ascii="David" w:hAnsi="David" w:hint="cs"/>
          <w:rtl/>
        </w:rPr>
        <w:t>'</w:t>
      </w:r>
      <w:r w:rsidR="004971C7">
        <w:rPr>
          <w:rFonts w:ascii="David" w:hAnsi="David" w:hint="cs"/>
          <w:rtl/>
        </w:rPr>
        <w:t>(...)</w:t>
      </w:r>
      <w:r w:rsidRPr="00007E3E">
        <w:rPr>
          <w:rFonts w:ascii="David" w:hAnsi="David"/>
          <w:rtl/>
        </w:rPr>
        <w:t xml:space="preserve"> - שהתאמנה בקרקס של הנאשם, סיפרה שהנאשם תמך בה הן ביחסו האישי והן בעניין הכספי מאחר שהייתה חיילת. העדה הוסיפה כי קיבלה יחס מקצועי והנאשם עזר לה ולמשפחתה.</w:t>
      </w:r>
    </w:p>
    <w:p w:rsidR="00007E3E" w:rsidRPr="00007E3E" w:rsidRDefault="00007E3E" w:rsidP="000B6F7D">
      <w:pPr>
        <w:spacing w:line="360" w:lineRule="auto"/>
        <w:jc w:val="both"/>
        <w:rPr>
          <w:rFonts w:ascii="David" w:hAnsi="David"/>
          <w:rtl/>
        </w:rPr>
      </w:pPr>
      <w:r w:rsidRPr="00007E3E">
        <w:rPr>
          <w:rFonts w:ascii="David" w:hAnsi="David"/>
          <w:rtl/>
        </w:rPr>
        <w:t>פ</w:t>
      </w:r>
      <w:r w:rsidR="000B6F7D">
        <w:rPr>
          <w:rFonts w:ascii="David" w:hAnsi="David" w:hint="cs"/>
          <w:rtl/>
        </w:rPr>
        <w:t>'</w:t>
      </w:r>
      <w:r w:rsidR="004971C7">
        <w:rPr>
          <w:rFonts w:ascii="David" w:hAnsi="David" w:hint="cs"/>
          <w:rtl/>
        </w:rPr>
        <w:t>(...)</w:t>
      </w:r>
      <w:r w:rsidRPr="00007E3E">
        <w:rPr>
          <w:rFonts w:ascii="David" w:hAnsi="David"/>
          <w:rtl/>
        </w:rPr>
        <w:t xml:space="preserve"> - שהתאמן לצד הנאשם, מסר כי הנאשם, ששם לב שהוא מתקשה בלוליינות, עזר לו. לדבריו, הכיר אדם מדהים שלימד אותו המון, הקנה לו ערכים ועזר לו להבין כיצד להתבגר ולהיות אחראי יותר וכן לימד אותו לתת ערך מוסף גם בהופעות בפני האנשים והחיילים שהיו מופיעים מולם. </w:t>
      </w:r>
    </w:p>
    <w:p w:rsidR="00007E3E" w:rsidRPr="00007E3E" w:rsidRDefault="00007E3E" w:rsidP="000B6F7D">
      <w:pPr>
        <w:spacing w:line="360" w:lineRule="auto"/>
        <w:jc w:val="both"/>
        <w:rPr>
          <w:rFonts w:ascii="David" w:hAnsi="David"/>
          <w:rtl/>
        </w:rPr>
      </w:pPr>
      <w:r w:rsidRPr="00007E3E">
        <w:rPr>
          <w:rFonts w:ascii="David" w:hAnsi="David"/>
          <w:rtl/>
        </w:rPr>
        <w:t>א</w:t>
      </w:r>
      <w:r w:rsidR="000B6F7D">
        <w:rPr>
          <w:rFonts w:ascii="David" w:hAnsi="David" w:hint="cs"/>
          <w:rtl/>
        </w:rPr>
        <w:t>'</w:t>
      </w:r>
      <w:r w:rsidR="004971C7">
        <w:rPr>
          <w:rFonts w:ascii="David" w:hAnsi="David" w:hint="cs"/>
          <w:rtl/>
        </w:rPr>
        <w:t>(...)</w:t>
      </w:r>
      <w:r w:rsidRPr="00007E3E">
        <w:rPr>
          <w:rFonts w:ascii="David" w:hAnsi="David"/>
          <w:rtl/>
        </w:rPr>
        <w:t xml:space="preserve"> - שהתאמנה אצל הנאשם מסרה כי האווירה באימונים הייתה כיפית, הנאשם נתן יחס אישי לכולם ואף סייע לה להתגבר על מחסום נפשי באימונים. הנאשם בא לקראתה כאשר לא הייתה משלמת עבור השיעורים אך הייתה עוזרת בדברים שהיה צריך לעשות באולם הספורט. העדה מסרה גם כי הופיעה עם הנאשם מספר פעמים והרגישה מאוד בנוח עם הנאשם, נתן לה תחושה שיש לה עם מי לדבר ושהכול יהיה בסדר. </w:t>
      </w:r>
    </w:p>
    <w:p w:rsidR="00007E3E" w:rsidRPr="00007E3E" w:rsidRDefault="00007E3E" w:rsidP="000B6F7D">
      <w:pPr>
        <w:spacing w:line="360" w:lineRule="auto"/>
        <w:jc w:val="both"/>
        <w:rPr>
          <w:rFonts w:ascii="David" w:hAnsi="David"/>
          <w:rtl/>
        </w:rPr>
      </w:pPr>
      <w:r w:rsidRPr="00007E3E">
        <w:rPr>
          <w:rFonts w:ascii="David" w:hAnsi="David"/>
          <w:rtl/>
        </w:rPr>
        <w:t>ר</w:t>
      </w:r>
      <w:r w:rsidR="000B6F7D">
        <w:rPr>
          <w:rFonts w:ascii="David" w:hAnsi="David" w:hint="cs"/>
          <w:rtl/>
        </w:rPr>
        <w:t>'</w:t>
      </w:r>
      <w:r w:rsidR="004971C7">
        <w:rPr>
          <w:rFonts w:ascii="David" w:hAnsi="David" w:hint="cs"/>
          <w:rtl/>
        </w:rPr>
        <w:t>(...)</w:t>
      </w:r>
      <w:r w:rsidRPr="00007E3E">
        <w:rPr>
          <w:rFonts w:ascii="David" w:hAnsi="David"/>
          <w:rtl/>
        </w:rPr>
        <w:t xml:space="preserve"> - אביו החורג של הנאשם, מסר כי נישא לאמו של הנאשם לפני כ-21 שנים. תאר את הנאשם כילד מצוין לאמו ולו, ציין כי הייתה לו רוח נתינה גבוהה, אהבה למקצוע ואהבה לילדים ולמשפחה שלו, וביקש להבין את רגשותיו ורגשות אמו של הנאשם והקשיים שחוו, ולנהוג עם הנאשם במידת הרחמים.</w:t>
      </w:r>
    </w:p>
    <w:p w:rsidR="00007E3E" w:rsidRPr="00007E3E" w:rsidRDefault="00007E3E" w:rsidP="000B6F7D">
      <w:pPr>
        <w:spacing w:line="360" w:lineRule="auto"/>
        <w:jc w:val="both"/>
        <w:rPr>
          <w:rFonts w:ascii="David" w:hAnsi="David"/>
          <w:rtl/>
        </w:rPr>
      </w:pPr>
      <w:r w:rsidRPr="00007E3E">
        <w:rPr>
          <w:rFonts w:ascii="David" w:hAnsi="David"/>
          <w:rtl/>
        </w:rPr>
        <w:t>א</w:t>
      </w:r>
      <w:r w:rsidR="000B6F7D">
        <w:rPr>
          <w:rFonts w:ascii="David" w:hAnsi="David" w:hint="cs"/>
          <w:rtl/>
        </w:rPr>
        <w:t>'</w:t>
      </w:r>
      <w:r w:rsidR="004971C7">
        <w:rPr>
          <w:rFonts w:ascii="David" w:hAnsi="David" w:hint="cs"/>
          <w:rtl/>
        </w:rPr>
        <w:t>(...)</w:t>
      </w:r>
      <w:r w:rsidRPr="00007E3E">
        <w:rPr>
          <w:rFonts w:ascii="David" w:hAnsi="David"/>
          <w:rtl/>
        </w:rPr>
        <w:t xml:space="preserve">– שעבדה אצל הנאשם כמדריכת 'היפ הופ', תיארה אותו כאדם מקצועי, חביב, אופטימי, שהתייחס יפה לכולם והיה אהוב על אנשים. </w:t>
      </w:r>
    </w:p>
    <w:p w:rsidR="00007E3E" w:rsidRPr="00007E3E" w:rsidRDefault="00007E3E" w:rsidP="000B6F7D">
      <w:pPr>
        <w:spacing w:line="360" w:lineRule="auto"/>
        <w:jc w:val="both"/>
        <w:rPr>
          <w:rFonts w:ascii="David" w:hAnsi="David"/>
          <w:rtl/>
        </w:rPr>
      </w:pPr>
      <w:r w:rsidRPr="00007E3E">
        <w:rPr>
          <w:rFonts w:ascii="David" w:hAnsi="David"/>
          <w:rtl/>
        </w:rPr>
        <w:lastRenderedPageBreak/>
        <w:t>י</w:t>
      </w:r>
      <w:r w:rsidR="000B6F7D">
        <w:rPr>
          <w:rFonts w:ascii="David" w:hAnsi="David" w:hint="cs"/>
          <w:rtl/>
        </w:rPr>
        <w:t>'</w:t>
      </w:r>
      <w:r w:rsidR="004971C7">
        <w:rPr>
          <w:rFonts w:ascii="David" w:hAnsi="David" w:hint="cs"/>
          <w:rtl/>
        </w:rPr>
        <w:t>(...)</w:t>
      </w:r>
      <w:r w:rsidRPr="00007E3E">
        <w:rPr>
          <w:rFonts w:ascii="David" w:hAnsi="David"/>
          <w:rtl/>
        </w:rPr>
        <w:t xml:space="preserve"> - שהופיע עם הנאשם יחד בקרקס, הכיר את הנאשם לפני 10 שנים, כשהופיעו יחד בקרקס, וציין כי הנאשם הינו אדם מאוד מקצועי ונחמד, פתוח לחלוק את הידע שלו עם שאר חברי הפרויקט. ציין כי מדובר במקצוע בו יש מגע אינטימי אך לא מיני ועמד על ההבדלים בין הדברים. הוא נוכח בקשר הטוב של הנאשם עם ילדיו ואשתו. תאר אותו כאדם ישר וכחבר.</w:t>
      </w:r>
    </w:p>
    <w:p w:rsidR="00007E3E" w:rsidRPr="00007E3E" w:rsidRDefault="00007E3E" w:rsidP="000B6F7D">
      <w:pPr>
        <w:spacing w:line="360" w:lineRule="auto"/>
        <w:jc w:val="both"/>
        <w:rPr>
          <w:rFonts w:ascii="David" w:hAnsi="David"/>
          <w:rtl/>
        </w:rPr>
      </w:pPr>
      <w:r w:rsidRPr="00007E3E">
        <w:rPr>
          <w:rFonts w:ascii="David" w:hAnsi="David"/>
          <w:rtl/>
        </w:rPr>
        <w:t>מ</w:t>
      </w:r>
      <w:r w:rsidR="000B6F7D">
        <w:rPr>
          <w:rFonts w:ascii="David" w:hAnsi="David" w:hint="cs"/>
          <w:rtl/>
        </w:rPr>
        <w:t>'</w:t>
      </w:r>
      <w:r w:rsidR="004971C7">
        <w:rPr>
          <w:rFonts w:ascii="David" w:hAnsi="David" w:hint="cs"/>
          <w:rtl/>
        </w:rPr>
        <w:t>(...)</w:t>
      </w:r>
      <w:r w:rsidRPr="00007E3E">
        <w:rPr>
          <w:rFonts w:ascii="David" w:hAnsi="David"/>
          <w:rtl/>
        </w:rPr>
        <w:t xml:space="preserve"> - אמו של הנאשם תיארה את ילדותו המורכבת של הנאשם ואת הקשיים הכלכליים שחוו. סיפרה כי כששמעה על מעצרו של בנה כשלו רגליה. סיפרה על עזרתו של הנאשם בפרנסת משפחתו וכי כעת חרב עליהם עולמם. האם ביקשה כי בית המשפט ינהג עם הנאשם במידת הרחמים ויתחשב גם בסבל של ילדיו.</w:t>
      </w:r>
    </w:p>
    <w:p w:rsidR="00007E3E" w:rsidRPr="00007E3E" w:rsidRDefault="00007E3E" w:rsidP="00007E3E">
      <w:pPr>
        <w:spacing w:line="360" w:lineRule="auto"/>
        <w:jc w:val="both"/>
        <w:rPr>
          <w:rFonts w:ascii="David" w:hAnsi="David"/>
          <w:b/>
          <w:bCs/>
          <w:u w:val="single"/>
          <w:rtl/>
        </w:rPr>
      </w:pPr>
    </w:p>
    <w:p w:rsidR="00007E3E" w:rsidRPr="00007E3E" w:rsidRDefault="00007E3E" w:rsidP="00007E3E">
      <w:pPr>
        <w:spacing w:line="360" w:lineRule="auto"/>
        <w:jc w:val="both"/>
        <w:rPr>
          <w:rFonts w:ascii="David" w:hAnsi="David"/>
          <w:b/>
          <w:bCs/>
          <w:u w:val="single"/>
          <w:rtl/>
        </w:rPr>
      </w:pPr>
      <w:r w:rsidRPr="00007E3E">
        <w:rPr>
          <w:rFonts w:ascii="David" w:hAnsi="David"/>
          <w:b/>
          <w:bCs/>
          <w:u w:val="single"/>
          <w:rtl/>
        </w:rPr>
        <w:t>טיעוני הצדדים לעונש</w:t>
      </w:r>
    </w:p>
    <w:p w:rsidR="00007E3E" w:rsidRPr="00007E3E" w:rsidRDefault="00007E3E" w:rsidP="00007E3E">
      <w:pPr>
        <w:spacing w:line="360" w:lineRule="auto"/>
        <w:jc w:val="both"/>
        <w:rPr>
          <w:rFonts w:ascii="David" w:hAnsi="David"/>
          <w:rtl/>
        </w:rPr>
      </w:pPr>
      <w:r w:rsidRPr="00007E3E">
        <w:rPr>
          <w:rFonts w:ascii="David" w:hAnsi="David"/>
          <w:rtl/>
        </w:rPr>
        <w:t>המאשימה הדגישה כי מעשי הנאשם בוצעו במספר רב של הזדמנויות שהתפרשו לאורך מספר שנים וכנגד שלוש מתלוננות וכי אין מדובר במעידה חד פעמית. הנאשם ניצל את מעמדו, סמכותו, השפעתו ותפקידו המקצועי כמנהל הקרקס בכדי להתקרב למתלוננות וליצור איתן יחסי אמון ומערכות יחסים קרובות, לשם ניצולן המיני ותוך ניצול יחסי המרות, ותמימותן של המתלוננות ורצונן להתקדם ולהתמקצע בתחום הקרקס. לעמדת המאשימה, מעשים אלו מחייבים ענישה חמורה, הולמת ומרתיעה.</w:t>
      </w:r>
    </w:p>
    <w:p w:rsidR="00007E3E" w:rsidRPr="00007E3E" w:rsidRDefault="00007E3E" w:rsidP="00007E3E">
      <w:pPr>
        <w:spacing w:line="360" w:lineRule="auto"/>
        <w:jc w:val="both"/>
        <w:rPr>
          <w:rFonts w:ascii="David" w:hAnsi="David"/>
          <w:rtl/>
        </w:rPr>
      </w:pPr>
      <w:r w:rsidRPr="00007E3E">
        <w:rPr>
          <w:rFonts w:ascii="David" w:hAnsi="David"/>
          <w:rtl/>
        </w:rPr>
        <w:t>עוד טענה המאשימה כי הערכים החברתיים המוגנים בהם פגע הנאשם הינם רבים, כאשר עוצמת הפגיעה מתגברת נוכח ניצול יחסי המרות ופער הגילים בין הנאשם למתלוננות, בהיותן מתעמלות / תלמידות קטינות אל מול הנאשם – אדם בוגר ובעל מרות עליהן לאור תפקידו כמנהל הקרקס. המאשימה עמדה על חומרתן של עבירות, ריבוי והימשכות המעשים, והחומרה מתעצמת  כאשר העבירות מבוצעות כלפי קטינות שזהותן טרם התעצבה ושאינן יכולות להתנגד, בתדירות רבה של מקרים רבים, על ידי דמות משמעותית עבורן וכן הפנתה לפסיקה רלוונטית בעניין.</w:t>
      </w:r>
    </w:p>
    <w:p w:rsidR="00007E3E" w:rsidRPr="00007E3E" w:rsidRDefault="00007E3E" w:rsidP="00007E3E">
      <w:pPr>
        <w:spacing w:line="360" w:lineRule="auto"/>
        <w:jc w:val="both"/>
        <w:rPr>
          <w:rFonts w:ascii="David" w:hAnsi="David"/>
          <w:rtl/>
        </w:rPr>
      </w:pPr>
      <w:r w:rsidRPr="00007E3E">
        <w:rPr>
          <w:rFonts w:ascii="David" w:hAnsi="David"/>
          <w:rtl/>
        </w:rPr>
        <w:t>אשר לנזק הממשי ולנזק הפוטנציאלי למתלוננות, ציינה המאשימה כי מעבר לפגיעה הפיזית ישנה פגיעה נפשית אשר קשה לשער איזה נזק גרמה למתלוננות וכי הנזק הצפוי הינו נזק הטבוע בעבירות אלה מעצם טיבן וקיומו הוא בבחינת הנחה שאינה מצריכה הוכחה.</w:t>
      </w:r>
    </w:p>
    <w:p w:rsidR="00007E3E" w:rsidRPr="00007E3E" w:rsidRDefault="00007E3E" w:rsidP="00007E3E">
      <w:pPr>
        <w:spacing w:line="360" w:lineRule="auto"/>
        <w:jc w:val="both"/>
        <w:rPr>
          <w:rFonts w:ascii="David" w:hAnsi="David"/>
          <w:rtl/>
        </w:rPr>
      </w:pPr>
      <w:r w:rsidRPr="00007E3E">
        <w:rPr>
          <w:rFonts w:ascii="David" w:hAnsi="David"/>
          <w:rtl/>
        </w:rPr>
        <w:t>העבירות בוצעו על ידי הנאשם על רקע רצונו לספק את דחפיו המיניים, תוך ניצול פערי הכוחות והגילים בינו לבין המתלוננות שהיו כחפץ לסיפוק יצריו.</w:t>
      </w:r>
    </w:p>
    <w:p w:rsidR="00007E3E" w:rsidRPr="00007E3E" w:rsidRDefault="00007E3E" w:rsidP="00007E3E">
      <w:pPr>
        <w:spacing w:line="360" w:lineRule="auto"/>
        <w:jc w:val="both"/>
        <w:rPr>
          <w:rFonts w:ascii="David" w:hAnsi="David"/>
        </w:rPr>
      </w:pPr>
      <w:r w:rsidRPr="00007E3E">
        <w:rPr>
          <w:rFonts w:ascii="David" w:hAnsi="David"/>
          <w:rtl/>
        </w:rPr>
        <w:t>לעמדת המאשימה, בקביעת מתחם הענישה יש לקחת בחשבון את האמור בסעיף 40ט(11) לחוק העונשין אף בכל הקשור לניצול לרעה של כוחו ומעמדו של הנאשם, בזמן שהמתלוננות הגיעו להתאמן אצלו, עם זאת, המאשימה לא טענה למתחם ענישה מסוים לגבי כל אישום או לגבי הפרשה בכללותה.</w:t>
      </w:r>
    </w:p>
    <w:p w:rsidR="00007E3E" w:rsidRPr="00007E3E" w:rsidRDefault="00007E3E" w:rsidP="00007E3E">
      <w:pPr>
        <w:spacing w:line="360" w:lineRule="auto"/>
        <w:jc w:val="both"/>
        <w:rPr>
          <w:rFonts w:ascii="David" w:hAnsi="David"/>
          <w:rtl/>
        </w:rPr>
      </w:pPr>
      <w:r w:rsidRPr="00007E3E">
        <w:rPr>
          <w:rFonts w:ascii="David" w:hAnsi="David"/>
          <w:rtl/>
        </w:rPr>
        <w:t xml:space="preserve">אשר לנסיבות שאינן קשורות בביצוע העבירה, ציינה המאשימה כי הנאשם לא עבר הליך שיקומי. על הענישה להיות מחמירה לאור הצורך בהרתעת עברייני מין בכלל והרתעת הנאשם אשר לו דחפים מיניים מוגברים בפרט. כמו כן סברה כי יש להשית על הנאשם עונש מאסר משמעותי, מאחר ויש בכך חידוד ודיוק מסר ההרתעה לנאשם ולשכמותו. לעמדתה, אמנם יש לזקוף לזכות הנאשם את העובדה </w:t>
      </w:r>
      <w:r w:rsidRPr="00007E3E">
        <w:rPr>
          <w:rFonts w:ascii="David" w:hAnsi="David"/>
          <w:rtl/>
        </w:rPr>
        <w:lastRenderedPageBreak/>
        <w:t xml:space="preserve">כי בסופו של דבר הודה בכתב האישום המתוקן וכי הוא נעדר עבר פלילי, אך ביחס למעשיו החמורים, לנסיבות אלו אין משמעות רבה, בהינתן מספרן הרב של העבירות שבהן הורשע ומשך התקופה הארוכה בה ביצע את העבירות. </w:t>
      </w:r>
    </w:p>
    <w:p w:rsidR="00007E3E" w:rsidRPr="00007E3E" w:rsidRDefault="00007E3E" w:rsidP="00C42D4A">
      <w:pPr>
        <w:spacing w:line="360" w:lineRule="auto"/>
        <w:jc w:val="both"/>
        <w:rPr>
          <w:rFonts w:ascii="David" w:hAnsi="David"/>
          <w:rtl/>
        </w:rPr>
      </w:pPr>
      <w:r w:rsidRPr="00007E3E">
        <w:rPr>
          <w:rFonts w:ascii="David" w:hAnsi="David"/>
          <w:rtl/>
        </w:rPr>
        <w:t xml:space="preserve">המאשימה הדגישה את האמור בהערכת המסוכנות לפיה </w:t>
      </w:r>
      <w:r w:rsidR="004971C7">
        <w:rPr>
          <w:rFonts w:ascii="David" w:hAnsi="David" w:hint="cs"/>
          <w:rtl/>
        </w:rPr>
        <w:t>(...)</w:t>
      </w:r>
      <w:r w:rsidR="00C42D4A">
        <w:rPr>
          <w:rFonts w:ascii="David" w:hAnsi="David" w:hint="cs"/>
          <w:rtl/>
        </w:rPr>
        <w:t>.</w:t>
      </w:r>
      <w:r w:rsidRPr="00007E3E">
        <w:rPr>
          <w:rFonts w:ascii="David" w:hAnsi="David"/>
          <w:rtl/>
        </w:rPr>
        <w:t xml:space="preserve"> בהינתן מכלול השיקולים והנסיבות הקשורות בביצוע העבירה, לרבות ההתייחסות לענישה הנוהגת ובהתאם להסדר הטיעון בין הצדדים, עתרה להשית על הנאשם 7 שנות מאסר בפועל בניכוי ימי מעצרו, מאסר מותנה מרתיע וממושך בגין עבירות המין וכן פיצוי כספי לנפגעות העבירה.</w:t>
      </w:r>
    </w:p>
    <w:p w:rsidR="00007E3E" w:rsidRPr="00007E3E" w:rsidRDefault="00007E3E" w:rsidP="00007E3E">
      <w:pPr>
        <w:spacing w:line="360" w:lineRule="auto"/>
        <w:jc w:val="both"/>
        <w:rPr>
          <w:rFonts w:ascii="David" w:hAnsi="David"/>
          <w:rtl/>
        </w:rPr>
      </w:pPr>
      <w:r w:rsidRPr="00007E3E">
        <w:rPr>
          <w:rFonts w:ascii="David" w:hAnsi="David"/>
          <w:b/>
          <w:bCs/>
          <w:rtl/>
        </w:rPr>
        <w:t>ההגנה</w:t>
      </w:r>
      <w:r w:rsidRPr="00007E3E">
        <w:rPr>
          <w:rFonts w:ascii="David" w:hAnsi="David"/>
          <w:rtl/>
        </w:rPr>
        <w:t xml:space="preserve"> ציינה את הישגיו הרבים של הנאשם בתחום הקרקס לרבות ההופעות הבינלאומיות, והודגשה תרומתו הרבה לבני נוער ולהוריהם בעצם יצירת המסגרת והפעילות החינוכית, ובנוסף בכך שיצר עבורם הזדמנויות לתעסוקה משמעותית, מפרנסת, מקצועית, עם יכולות מהותיות, חיזוק הביטחון העצמי שלהם והופעות בפני קהל.</w:t>
      </w:r>
    </w:p>
    <w:p w:rsidR="00007E3E" w:rsidRPr="00007E3E" w:rsidRDefault="00007E3E" w:rsidP="00007E3E">
      <w:pPr>
        <w:spacing w:line="360" w:lineRule="auto"/>
        <w:jc w:val="both"/>
        <w:rPr>
          <w:rFonts w:ascii="David" w:hAnsi="David"/>
          <w:rtl/>
        </w:rPr>
      </w:pPr>
      <w:r w:rsidRPr="00007E3E">
        <w:rPr>
          <w:rFonts w:ascii="David" w:hAnsi="David"/>
          <w:rtl/>
        </w:rPr>
        <w:t>עוד נטען, כי יש לקחת בחשבון את השינוי המהותי בכתב האישום המתוקן לעומת המקורי, הכולל כיום רק 3 מתלוננות, כי יש לתת משקל לכך שהנאשם נעדר פלילי ומעולם לא ריצה עונש מאסר מאחורי סורג ובריח עד להגשת התלונות, אשר בגינן שהה במעצר ממשי ולאחריו באיזוק אלקטרוני ממושך, ולמעשה עד היום חירותו מוגבלת. הנאשם לא הפר את אמון בית המשפט בו, לא נפתחו נגדו תיקים חדשים, הוא שיתף פעולה בכל חקירותיו, ולא שמר על זכות השתיקה.</w:t>
      </w:r>
    </w:p>
    <w:p w:rsidR="00007E3E" w:rsidRPr="00007E3E" w:rsidRDefault="00007E3E" w:rsidP="00007E3E">
      <w:pPr>
        <w:spacing w:line="360" w:lineRule="auto"/>
        <w:jc w:val="both"/>
        <w:rPr>
          <w:rFonts w:ascii="David" w:hAnsi="David"/>
          <w:rtl/>
        </w:rPr>
      </w:pPr>
    </w:p>
    <w:p w:rsidR="00007E3E" w:rsidRPr="00007E3E" w:rsidRDefault="00007E3E" w:rsidP="00007E3E">
      <w:pPr>
        <w:spacing w:line="360" w:lineRule="auto"/>
        <w:jc w:val="both"/>
        <w:rPr>
          <w:rFonts w:ascii="David" w:hAnsi="David"/>
          <w:rtl/>
        </w:rPr>
      </w:pPr>
      <w:r w:rsidRPr="00007E3E">
        <w:rPr>
          <w:rFonts w:ascii="David" w:hAnsi="David"/>
          <w:rtl/>
        </w:rPr>
        <w:t>ההגנה ביקשה לתת משקל משמעותי להיותו של הנאשם אדם נשוי ואב לשלושה קטינים, כאשר האמצעי מביניהם אובחן כסובל מקושי מסוים. הנאשם חסך את עדותם וזמנם של עדי תביעה ועדי הגנה רבים בעצם ההגעה להסדר ובכך גם חסך זמן שיפוטי יקר. עוד התבקש בית המשפט להתחשב בהימשכות ההליך הפלילי והפגיעה הכלכלית שנגרמה לנאשם כתוצאה ממנו, באשר הנאשם איבד את עבודתו ותדמיתו נפגעה בעולם הקרקס אליו לא יוכל לשוב לעולם.</w:t>
      </w:r>
    </w:p>
    <w:p w:rsidR="00007E3E" w:rsidRPr="00007E3E" w:rsidRDefault="00007E3E" w:rsidP="00007E3E">
      <w:pPr>
        <w:spacing w:line="360" w:lineRule="auto"/>
        <w:jc w:val="both"/>
        <w:rPr>
          <w:rFonts w:ascii="David" w:hAnsi="David"/>
          <w:rtl/>
        </w:rPr>
      </w:pPr>
      <w:r w:rsidRPr="00007E3E">
        <w:rPr>
          <w:rFonts w:ascii="David" w:hAnsi="David"/>
          <w:rtl/>
        </w:rPr>
        <w:t>ההגנה הסבירה כי כפירתו של הנאשם בכתב האישום המקורי נבעה מביטחונו בחפותו, ולשיטתו רק בשל כפירתו מחקה המאשימה את האישום הראשון בכתב האישום המקורי אשר כלל את העבירות החמורות ביותר בכתב האישום. בעשותו כן, עמד על זכותו להליך הוגן ואין זה בגדר בזבוז זמן שיפוטי.</w:t>
      </w:r>
    </w:p>
    <w:p w:rsidR="00007E3E" w:rsidRPr="00007E3E" w:rsidRDefault="00007E3E" w:rsidP="00007E3E">
      <w:pPr>
        <w:spacing w:line="360" w:lineRule="auto"/>
        <w:jc w:val="both"/>
        <w:rPr>
          <w:rFonts w:ascii="David" w:hAnsi="David"/>
          <w:rtl/>
        </w:rPr>
      </w:pPr>
      <w:r w:rsidRPr="00007E3E">
        <w:rPr>
          <w:rFonts w:ascii="David" w:hAnsi="David"/>
          <w:rtl/>
        </w:rPr>
        <w:t>ההגנה הרחיבה אודות גרסאות הנאשם בנוגע לכל אחת מקורבנות העבירות, והנאשם חזר עליהן בדבריו לעונש.</w:t>
      </w:r>
    </w:p>
    <w:p w:rsidR="00007E3E" w:rsidRPr="00007E3E" w:rsidRDefault="00007E3E" w:rsidP="00007E3E">
      <w:pPr>
        <w:spacing w:line="360" w:lineRule="auto"/>
        <w:jc w:val="both"/>
        <w:rPr>
          <w:rFonts w:ascii="David" w:hAnsi="David"/>
          <w:rtl/>
        </w:rPr>
      </w:pPr>
      <w:r w:rsidRPr="00007E3E">
        <w:rPr>
          <w:rFonts w:ascii="David" w:hAnsi="David"/>
          <w:rtl/>
        </w:rPr>
        <w:t>לטענת ההגנה, חקירותיו של הנאשם התנהלו באופן הפוגע בזכותו להליך הוגן. באשר לרכיב הנזק בענישה, לא נגרם לאף מתלוננת נזק נפשי ואף בכתב האישום המתוקן לא ניתן לכך ביטוי.</w:t>
      </w:r>
    </w:p>
    <w:p w:rsidR="00007E3E" w:rsidRPr="00007E3E" w:rsidRDefault="00007E3E" w:rsidP="00007E3E">
      <w:pPr>
        <w:spacing w:line="360" w:lineRule="auto"/>
        <w:jc w:val="both"/>
        <w:rPr>
          <w:rFonts w:ascii="David" w:hAnsi="David"/>
          <w:rtl/>
        </w:rPr>
      </w:pPr>
      <w:r w:rsidRPr="00007E3E">
        <w:rPr>
          <w:rFonts w:ascii="David" w:hAnsi="David"/>
          <w:rtl/>
        </w:rPr>
        <w:t>ההגנה ציינה כי היא ערה לכך שהעבירות בוצעו תוך כדי ניצול יחסי מרות, אך טענה כי לטעמה מדובר ברף הנמוך של העבירות. שלוש המתלוננות לא היו שייכות לחוגים המוסדרים במתנ"ס אלא לקבוצות האימונים לקרקס, שם יחסי התלות פחותים.</w:t>
      </w:r>
    </w:p>
    <w:p w:rsidR="00007E3E" w:rsidRPr="00007E3E" w:rsidRDefault="00007E3E" w:rsidP="00007E3E">
      <w:pPr>
        <w:spacing w:line="360" w:lineRule="auto"/>
        <w:jc w:val="both"/>
        <w:rPr>
          <w:rFonts w:ascii="David" w:hAnsi="David"/>
          <w:rtl/>
        </w:rPr>
      </w:pPr>
      <w:r w:rsidRPr="00007E3E">
        <w:rPr>
          <w:rFonts w:ascii="David" w:hAnsi="David"/>
          <w:rtl/>
        </w:rPr>
        <w:lastRenderedPageBreak/>
        <w:t xml:space="preserve">ההגנה סברה כי בהתחשב בנסיבות ובבחינת מכלול השיקולים יש לקבוע מתחם אחד לכלל העבירות והאישומים, ועל מתחם הענישה לנוע בין תשעה חודשים שיכול וירוצו בעבודות שירות ועד לשלוש שנות מאסר בפועל, כאשר יש למקם את עונשו של הנאשם ברף האמצעי של המתחם. </w:t>
      </w:r>
    </w:p>
    <w:p w:rsidR="00007E3E" w:rsidRPr="00007E3E" w:rsidRDefault="00007E3E" w:rsidP="00007E3E">
      <w:pPr>
        <w:spacing w:line="360" w:lineRule="auto"/>
        <w:jc w:val="both"/>
        <w:rPr>
          <w:rFonts w:ascii="David" w:hAnsi="David"/>
          <w:b/>
          <w:bCs/>
          <w:u w:val="single"/>
          <w:rtl/>
        </w:rPr>
      </w:pPr>
    </w:p>
    <w:p w:rsidR="00007E3E" w:rsidRPr="00007E3E" w:rsidRDefault="00007E3E" w:rsidP="00007E3E">
      <w:pPr>
        <w:spacing w:line="360" w:lineRule="auto"/>
        <w:jc w:val="both"/>
        <w:rPr>
          <w:rFonts w:ascii="David" w:hAnsi="David"/>
          <w:b/>
          <w:bCs/>
          <w:u w:val="single"/>
          <w:rtl/>
        </w:rPr>
      </w:pPr>
      <w:r w:rsidRPr="00007E3E">
        <w:rPr>
          <w:rFonts w:ascii="David" w:hAnsi="David"/>
          <w:b/>
          <w:bCs/>
          <w:u w:val="single"/>
          <w:rtl/>
        </w:rPr>
        <w:t>דברי הנאשם לעונש</w:t>
      </w:r>
    </w:p>
    <w:p w:rsidR="00007E3E" w:rsidRPr="00007E3E" w:rsidRDefault="00007E3E" w:rsidP="00007E3E">
      <w:pPr>
        <w:spacing w:line="360" w:lineRule="auto"/>
        <w:jc w:val="both"/>
        <w:rPr>
          <w:rFonts w:ascii="David" w:hAnsi="David"/>
          <w:rtl/>
        </w:rPr>
      </w:pPr>
      <w:r w:rsidRPr="00007E3E">
        <w:rPr>
          <w:rFonts w:ascii="David" w:hAnsi="David"/>
          <w:rtl/>
        </w:rPr>
        <w:t>הנאשם תיאר את מהלך חייו מילדותו, הקשיים הכלכליים שאילצו אותו לצאת לעבוד בגיל צעיר וציין את שירותו הצבאי כלוחם. עם שחרורו טס לחו"ל כדי להגשים את חלומו והתעקש לייצג את ישראל בתחרויות בהן השתתף ולהניף את דגל המדינה, על אף שזה פגע לו בקריירה. הוא הרחיב אודות הקשר המיוחד שלו עם ילדיו, ועל הקשיים שיש להם ושהוא גרם להם. לדבריו עשה כל שביכולתו כדי לספק להם כל צרכם, ובכל זאת נכשל. עוד ציין כי תקופת מעצרו הייתה עבורו 'הלם' מוחלט, במעצרו הושם עם אסירים השפוטים למאסרי עולם במקום בתא עם עצורים, וכן נשללו ממנו זכויות רבות. מעצרו הסב נזק למשפחתו, לעמיתיו בתחום ולנוער בסיכון לו עזר, תחום שלא יוכל לחזור ולעסוק בו.</w:t>
      </w:r>
    </w:p>
    <w:p w:rsidR="00007E3E" w:rsidRPr="00007E3E" w:rsidRDefault="00007E3E" w:rsidP="00007E3E">
      <w:pPr>
        <w:spacing w:line="360" w:lineRule="auto"/>
        <w:jc w:val="both"/>
        <w:rPr>
          <w:rFonts w:ascii="David" w:hAnsi="David"/>
          <w:rtl/>
        </w:rPr>
      </w:pPr>
      <w:r w:rsidRPr="00007E3E">
        <w:rPr>
          <w:rFonts w:ascii="David" w:hAnsi="David"/>
          <w:rtl/>
        </w:rPr>
        <w:t>הנאשם ציין כי כששוחרר למעצר בית החל להופיע ולקבץ נדבות כאמן קרקס ברחוב לפרנסתו, לבוש בצבעי כחול לבן, והביע צער על כך שחרף רצונו לא גויס כעת למילואים.</w:t>
      </w:r>
    </w:p>
    <w:p w:rsidR="00007E3E" w:rsidRPr="00007E3E" w:rsidRDefault="00007E3E" w:rsidP="00007E3E">
      <w:pPr>
        <w:spacing w:line="360" w:lineRule="auto"/>
        <w:jc w:val="both"/>
        <w:rPr>
          <w:rFonts w:ascii="David" w:hAnsi="David"/>
          <w:rtl/>
        </w:rPr>
      </w:pPr>
      <w:r w:rsidRPr="00007E3E">
        <w:rPr>
          <w:rFonts w:ascii="David" w:hAnsi="David"/>
          <w:rtl/>
        </w:rPr>
        <w:t>הנאשם התייחס לנפגעות העבירה: כאשר ביחס למתלוננת באישום הראשון ציין כי אכן העבירות נעברו במסגרת יחסי מרות אך השניים התאהבו זה בזה, באשר למתלוננת השנייה ציין כי הכיר אותה בהפקה, לא ידע מה גילה ואולי לא רצה לדעת, על המתלוננת השלישית ציין כי נמשך אליה אך לא ראה את הדברים כשם שהיא ראתה אותם. בדיעבד הוא מבין כי קרות הסיטואציה ב"לופט", שהוא מקום מרוחק, כאשר המתלוננת לבד אתו מבלי יכולת להיעזר באיש, גרמה לה לחשוש מפניו אך הוסיף ואמר כי  לעולם לא היה פוגע בה.</w:t>
      </w:r>
    </w:p>
    <w:p w:rsidR="00007E3E" w:rsidRPr="00007E3E" w:rsidRDefault="00007E3E" w:rsidP="00007E3E">
      <w:pPr>
        <w:spacing w:line="360" w:lineRule="auto"/>
        <w:jc w:val="both"/>
        <w:rPr>
          <w:rFonts w:ascii="David" w:hAnsi="David"/>
          <w:rtl/>
        </w:rPr>
      </w:pPr>
      <w:r w:rsidRPr="00007E3E">
        <w:rPr>
          <w:rFonts w:ascii="David" w:hAnsi="David"/>
          <w:rtl/>
        </w:rPr>
        <w:t>הוא ואשתו עוברים כיום יחד תהליך לשיקום המשפחה. בסיום דבריו ציין הנאשם כי הוא מבין שביצע פשע, והחיים שלו התרסקו בשל כך, וכן הביע את הצורך הבהול שלו לקבל טיפול. כמו כן ביקש לקחת בחשבון כי מפעל חייו, שהיה כה משמעותי עבורו, התרסק. אף ההגנה הגישה פסיקה שתיסקר בהמשך.</w:t>
      </w:r>
    </w:p>
    <w:p w:rsidR="00007E3E" w:rsidRPr="00007E3E" w:rsidRDefault="00007E3E" w:rsidP="00007E3E">
      <w:pPr>
        <w:spacing w:line="360" w:lineRule="auto"/>
        <w:jc w:val="both"/>
        <w:rPr>
          <w:rFonts w:ascii="David" w:hAnsi="David"/>
          <w:b/>
          <w:bCs/>
          <w:u w:val="single"/>
          <w:rtl/>
        </w:rPr>
      </w:pPr>
    </w:p>
    <w:p w:rsidR="00007E3E" w:rsidRPr="00007E3E" w:rsidRDefault="00007E3E" w:rsidP="00007E3E">
      <w:pPr>
        <w:spacing w:line="360" w:lineRule="auto"/>
        <w:jc w:val="both"/>
        <w:rPr>
          <w:rFonts w:ascii="David" w:hAnsi="David"/>
          <w:b/>
          <w:bCs/>
          <w:u w:val="single"/>
          <w:rtl/>
        </w:rPr>
      </w:pPr>
      <w:r w:rsidRPr="00007E3E">
        <w:rPr>
          <w:rFonts w:ascii="David" w:hAnsi="David"/>
          <w:b/>
          <w:bCs/>
          <w:u w:val="single"/>
          <w:rtl/>
        </w:rPr>
        <w:t>דיון והכרעה</w:t>
      </w:r>
    </w:p>
    <w:p w:rsidR="00007E3E" w:rsidRPr="00007E3E" w:rsidRDefault="00007E3E" w:rsidP="00007E3E">
      <w:pPr>
        <w:widowControl w:val="0"/>
        <w:spacing w:before="240" w:line="360" w:lineRule="auto"/>
        <w:jc w:val="both"/>
        <w:rPr>
          <w:rFonts w:ascii="David" w:hAnsi="David"/>
          <w:b/>
          <w:bCs/>
          <w:u w:val="single"/>
          <w:rtl/>
        </w:rPr>
      </w:pPr>
      <w:r w:rsidRPr="00007E3E">
        <w:rPr>
          <w:rFonts w:ascii="David" w:hAnsi="David"/>
          <w:b/>
          <w:bCs/>
          <w:u w:val="single"/>
          <w:rtl/>
        </w:rPr>
        <w:t>היחס בין "הסדר טווח" לתיקון 113 לחוק העונשין</w:t>
      </w:r>
    </w:p>
    <w:p w:rsidR="00007E3E" w:rsidRPr="00007E3E" w:rsidRDefault="00007E3E" w:rsidP="00007E3E">
      <w:pPr>
        <w:widowControl w:val="0"/>
        <w:spacing w:before="240" w:line="360" w:lineRule="auto"/>
        <w:jc w:val="both"/>
        <w:rPr>
          <w:rFonts w:ascii="David" w:hAnsi="David"/>
          <w:rtl/>
        </w:rPr>
      </w:pPr>
      <w:r w:rsidRPr="00007E3E">
        <w:rPr>
          <w:rFonts w:ascii="David" w:hAnsi="David"/>
          <w:rtl/>
        </w:rPr>
        <w:t xml:space="preserve">נוכח ההסדר אליו הגיעו הצדדים, "הסדר טווח" לפיו המאשימה תעתור לעונש ראוי של 7 שנות מאסר לצד ענישה נלווית, וההגנה חופשית בטיעוניה, עולה השאלה האם על בית המשפט להידרש לקביעתו של מתחם עונש הולם לגזירת עונשו של הנאשם והאם ראוי שייעשה כן, שאלות שאין להן מענה בתיקון 113 לחוק. </w:t>
      </w:r>
    </w:p>
    <w:p w:rsidR="00007E3E" w:rsidRPr="00007E3E" w:rsidRDefault="00007E3E" w:rsidP="00007E3E">
      <w:pPr>
        <w:widowControl w:val="0"/>
        <w:spacing w:before="240" w:line="360" w:lineRule="auto"/>
        <w:jc w:val="both"/>
        <w:rPr>
          <w:rFonts w:ascii="David" w:hAnsi="David"/>
          <w:rtl/>
        </w:rPr>
      </w:pPr>
      <w:r w:rsidRPr="00007E3E">
        <w:rPr>
          <w:rFonts w:ascii="David" w:hAnsi="David"/>
          <w:rtl/>
        </w:rPr>
        <w:t xml:space="preserve">כזכור, לא הייתה הסכמה כללית בנוגע לסוגיה זו, והיו דעות לכאן ולכאן. האחת גורסת שיש להידרש לשאלת המתחם ההולם והשנייה גורסת כי במקרים מסוימים אין בכך צורך, למשל במקרה בו </w:t>
      </w:r>
      <w:r w:rsidRPr="00007E3E">
        <w:rPr>
          <w:rFonts w:ascii="David" w:hAnsi="David"/>
          <w:rtl/>
        </w:rPr>
        <w:lastRenderedPageBreak/>
        <w:t xml:space="preserve">סבירותו של הטווח המוסכם ברורה על פניה ואינה מעוררת שאלה בדבר חריגה מהסדר הטיעון. לפני כשנתיים נקבע, כי גם כאשר הוסכם על טווח ענישה במסגרת הסדר טיעון, עדיין על בית המשפט לקבוע מתחם ענישה ראוי בהתאם להוראות תיקון 113 לחוק העונשין, וראה בעניין זה את ע"פ 7850/21 </w:t>
      </w:r>
      <w:r w:rsidRPr="00007E3E">
        <w:rPr>
          <w:rFonts w:ascii="David" w:hAnsi="David"/>
          <w:b/>
          <w:bCs/>
          <w:rtl/>
        </w:rPr>
        <w:t xml:space="preserve">דבוקי נ' מדינת ישראל </w:t>
      </w:r>
      <w:r w:rsidRPr="00007E3E">
        <w:rPr>
          <w:rFonts w:ascii="David" w:hAnsi="David"/>
          <w:rtl/>
        </w:rPr>
        <w:t>(9.6.22) פסקה 12:</w:t>
      </w:r>
    </w:p>
    <w:p w:rsidR="00007E3E" w:rsidRPr="00007E3E" w:rsidRDefault="00007E3E" w:rsidP="00007E3E">
      <w:pPr>
        <w:widowControl w:val="0"/>
        <w:spacing w:before="240" w:line="360" w:lineRule="auto"/>
        <w:jc w:val="both"/>
        <w:rPr>
          <w:rFonts w:ascii="David" w:hAnsi="David"/>
          <w:rtl/>
        </w:rPr>
      </w:pPr>
    </w:p>
    <w:p w:rsidR="00007E3E" w:rsidRPr="00007E3E" w:rsidRDefault="00007E3E" w:rsidP="00007E3E">
      <w:pPr>
        <w:widowControl w:val="0"/>
        <w:spacing w:line="360" w:lineRule="auto"/>
        <w:ind w:left="1502" w:right="1276"/>
        <w:jc w:val="both"/>
        <w:rPr>
          <w:rFonts w:ascii="David" w:hAnsi="David"/>
          <w:b/>
          <w:bCs/>
          <w:rtl/>
        </w:rPr>
      </w:pPr>
      <w:r w:rsidRPr="00007E3E">
        <w:rPr>
          <w:rFonts w:ascii="David" w:hAnsi="David"/>
          <w:b/>
          <w:bCs/>
          <w:rtl/>
        </w:rPr>
        <w:t xml:space="preserve">"בקביעת מתחם הענישה בית המשפט אינו כבול להסכמות הצדדים, והוא מוסמך, ואפילו נדרש, לקבוע את מתחם הענישה הראוי בהתאם להוראותיו של תיקון 113 לחוק העונשין ובהתייחס לנסיבות המקרה שלפניו (ראו: ע"פ 1548/18 גיא נ' מדינת ישראל, פסקה 19 [פורסם בנבו] (28.11.2018); ע"פ 921/17 זעילה נ' מדינת ישראל, פסקאות 17-16 [פורסם בנבו] (28.5.2017)). אם לא כך יהיה, שיקול דעתו של בית המשפט לדחות הסדרי טיעון אשר נערכים בין הצדדים יישלל ממנו מניה וביה – תוצאה בלתי-רצויה ומנוגדת להלכה פסוקה (ראו: ע"פ 2454/18 שיינברג נ' מדינת ישראל, פסקה 19 [פורסם בנבו] (6.12.2018); ע"פ 512/13 פלוני נ' מדינת ישראל, פסקה 18 [פורסם בנבו] (4.12.2013) (להלן: עניין פלוני))". </w:t>
      </w:r>
    </w:p>
    <w:p w:rsidR="00007E3E" w:rsidRPr="00007E3E" w:rsidRDefault="00007E3E" w:rsidP="00007E3E">
      <w:pPr>
        <w:spacing w:line="360" w:lineRule="auto"/>
        <w:jc w:val="both"/>
        <w:rPr>
          <w:rFonts w:ascii="David" w:hAnsi="David"/>
          <w:rtl/>
        </w:rPr>
      </w:pPr>
    </w:p>
    <w:p w:rsidR="00007E3E" w:rsidRPr="00007E3E" w:rsidRDefault="00007E3E" w:rsidP="00007E3E">
      <w:pPr>
        <w:spacing w:line="360" w:lineRule="auto"/>
        <w:jc w:val="both"/>
        <w:rPr>
          <w:rFonts w:ascii="David" w:hAnsi="David"/>
          <w:rtl/>
        </w:rPr>
      </w:pPr>
      <w:r w:rsidRPr="00007E3E">
        <w:rPr>
          <w:rFonts w:ascii="David" w:hAnsi="David"/>
          <w:rtl/>
        </w:rPr>
        <w:t>משכך הם פני הדברים, נידרש אף אנו לשאלת מתחם העונש ההולם ונבחן את העונש שהתבקש בגדרו.</w:t>
      </w:r>
    </w:p>
    <w:p w:rsidR="00007E3E" w:rsidRPr="00007E3E" w:rsidRDefault="00007E3E" w:rsidP="00007E3E">
      <w:pPr>
        <w:spacing w:line="360" w:lineRule="auto"/>
        <w:jc w:val="both"/>
        <w:rPr>
          <w:rFonts w:ascii="David" w:eastAsia="Calibri" w:hAnsi="David"/>
          <w:b/>
          <w:bCs/>
          <w:u w:val="single"/>
          <w:rtl/>
        </w:rPr>
      </w:pPr>
    </w:p>
    <w:p w:rsidR="00007E3E" w:rsidRPr="00007E3E" w:rsidRDefault="00007E3E" w:rsidP="00007E3E">
      <w:pPr>
        <w:spacing w:line="360" w:lineRule="auto"/>
        <w:jc w:val="both"/>
        <w:rPr>
          <w:rFonts w:ascii="David" w:eastAsia="Calibri" w:hAnsi="David"/>
          <w:b/>
          <w:bCs/>
          <w:u w:val="single"/>
          <w:rtl/>
        </w:rPr>
      </w:pPr>
      <w:r w:rsidRPr="00007E3E">
        <w:rPr>
          <w:rFonts w:ascii="David" w:eastAsia="Calibri" w:hAnsi="David"/>
          <w:b/>
          <w:bCs/>
          <w:u w:val="single"/>
          <w:rtl/>
        </w:rPr>
        <w:t>מתחם העונש ההולם</w:t>
      </w:r>
    </w:p>
    <w:p w:rsidR="00007E3E" w:rsidRPr="00007E3E" w:rsidRDefault="00007E3E" w:rsidP="00007E3E">
      <w:pPr>
        <w:spacing w:line="360" w:lineRule="auto"/>
        <w:jc w:val="both"/>
        <w:rPr>
          <w:rFonts w:ascii="David" w:eastAsia="Calibri" w:hAnsi="David"/>
          <w:rtl/>
        </w:rPr>
      </w:pPr>
      <w:r w:rsidRPr="00007E3E">
        <w:rPr>
          <w:rFonts w:ascii="David" w:eastAsia="Calibri" w:hAnsi="David"/>
          <w:rtl/>
        </w:rPr>
        <w:t xml:space="preserve">הצדדים לא טענו למתחמי ענישה נפרדים לאישומים השונים והתלבטנו בעניין זה. מחד גיסא, </w:t>
      </w:r>
      <w:r w:rsidRPr="00DD5A6C">
        <w:rPr>
          <w:rFonts w:ascii="David" w:hAnsi="David"/>
          <w:rtl/>
        </w:rPr>
        <w:t>ב</w:t>
      </w:r>
      <w:hyperlink r:id="rId9" w:history="1">
        <w:r w:rsidRPr="00DD5A6C">
          <w:rPr>
            <w:rFonts w:ascii="David" w:hAnsi="David"/>
            <w:noProof/>
            <w:rtl/>
          </w:rPr>
          <w:t>ע"פ 319/17</w:t>
        </w:r>
      </w:hyperlink>
      <w:r w:rsidRPr="00DD5A6C">
        <w:rPr>
          <w:rFonts w:ascii="David" w:hAnsi="David"/>
          <w:noProof/>
          <w:rtl/>
        </w:rPr>
        <w:t xml:space="preserve"> </w:t>
      </w:r>
      <w:r w:rsidRPr="00007E3E">
        <w:rPr>
          <w:rFonts w:ascii="David" w:hAnsi="David" w:hint="cs"/>
          <w:b/>
          <w:bCs/>
          <w:noProof/>
          <w:rtl/>
        </w:rPr>
        <w:t>פלוני נ' מדינת ישראל</w:t>
      </w:r>
      <w:r w:rsidRPr="00007E3E">
        <w:rPr>
          <w:rFonts w:ascii="David" w:hAnsi="David" w:hint="cs"/>
          <w:noProof/>
          <w:rtl/>
        </w:rPr>
        <w:t xml:space="preserve"> (19.07.18), בערעור על החלטת בית המשפט קמא שם לקבוע מתחמי ענישה נפרדים אך עונש כולל, נקבע בפסקה 8 לפסק דינה של כב' הש' ברון:</w:t>
      </w:r>
    </w:p>
    <w:p w:rsidR="00007E3E" w:rsidRPr="00007E3E" w:rsidRDefault="00007E3E" w:rsidP="00007E3E">
      <w:pPr>
        <w:spacing w:before="120" w:after="120" w:line="360" w:lineRule="auto"/>
        <w:ind w:left="510" w:right="425"/>
        <w:jc w:val="both"/>
        <w:rPr>
          <w:rFonts w:ascii="David" w:eastAsia="Calibri" w:hAnsi="David"/>
          <w:b/>
          <w:bCs/>
          <w:noProof/>
          <w:highlight w:val="yellow"/>
          <w:rtl/>
        </w:rPr>
      </w:pPr>
      <w:r w:rsidRPr="00007E3E">
        <w:rPr>
          <w:rFonts w:ascii="David" w:hAnsi="David"/>
          <w:b/>
          <w:bCs/>
          <w:noProof/>
          <w:rtl/>
        </w:rPr>
        <w:t>"קביעתו של בית המשפט המחוזי כי כל אחד משני האישומים נגד המערער מהווה אירוע נפרד, מבטאת את ההכרה בפגיעה שחווה כל אחד מן המתלוננים בגופו ובנפשו. קביעה זו אף עולה בקנה אחד עם ההלכה שלפיה כאשר מדובר במספר מעשי עבירה, באישומים שונים, כלפי קורבנות שונים, ואף אם ניתן למצוא קווי דמיון באופיים של המעשים – יש לראות בכל אחד מהם אירוע בפני עצמו ולקבוע מתחמי ענישה נפרדים."</w:t>
      </w:r>
      <w:r w:rsidRPr="00007E3E">
        <w:rPr>
          <w:rFonts w:ascii="David" w:hAnsi="David"/>
          <w:b/>
          <w:bCs/>
          <w:noProof/>
          <w:highlight w:val="yellow"/>
          <w:rtl/>
        </w:rPr>
        <w:t xml:space="preserve"> </w:t>
      </w:r>
    </w:p>
    <w:p w:rsidR="00007E3E" w:rsidRPr="00007E3E" w:rsidRDefault="00007E3E" w:rsidP="00007E3E">
      <w:pPr>
        <w:spacing w:line="360" w:lineRule="auto"/>
        <w:jc w:val="both"/>
        <w:rPr>
          <w:rFonts w:ascii="David" w:eastAsia="Calibri" w:hAnsi="David"/>
          <w:rtl/>
        </w:rPr>
      </w:pPr>
      <w:r w:rsidRPr="00007E3E">
        <w:rPr>
          <w:rFonts w:ascii="David" w:eastAsia="Calibri" w:hAnsi="David"/>
          <w:rtl/>
        </w:rPr>
        <w:t xml:space="preserve">מאידך גיסא, בע"פ 1261/15 </w:t>
      </w:r>
      <w:r w:rsidRPr="00007E3E">
        <w:rPr>
          <w:rFonts w:ascii="David" w:eastAsia="Calibri" w:hAnsi="David"/>
          <w:b/>
          <w:bCs/>
          <w:rtl/>
        </w:rPr>
        <w:t>מדינת ישראל נ' יוסף דלאל</w:t>
      </w:r>
      <w:r w:rsidRPr="00007E3E">
        <w:rPr>
          <w:rFonts w:ascii="David" w:eastAsia="Calibri" w:hAnsi="David"/>
          <w:rtl/>
        </w:rPr>
        <w:t xml:space="preserve"> (03.09.2015), בפסקה 22, נקבע:</w:t>
      </w:r>
    </w:p>
    <w:p w:rsidR="00007E3E" w:rsidRPr="00007E3E" w:rsidRDefault="00007E3E" w:rsidP="00007E3E">
      <w:pPr>
        <w:spacing w:line="360" w:lineRule="auto"/>
        <w:jc w:val="both"/>
        <w:rPr>
          <w:rFonts w:ascii="David" w:eastAsia="Calibri" w:hAnsi="David"/>
          <w:rtl/>
        </w:rPr>
      </w:pPr>
    </w:p>
    <w:p w:rsidR="00007E3E" w:rsidRPr="00007E3E" w:rsidRDefault="00007E3E" w:rsidP="00007E3E">
      <w:pPr>
        <w:spacing w:line="360" w:lineRule="auto"/>
        <w:ind w:left="1643" w:right="1418"/>
        <w:jc w:val="both"/>
        <w:rPr>
          <w:rFonts w:ascii="David" w:eastAsia="Calibri" w:hAnsi="David"/>
          <w:b/>
          <w:bCs/>
          <w:highlight w:val="yellow"/>
          <w:rtl/>
        </w:rPr>
      </w:pPr>
      <w:r w:rsidRPr="00007E3E">
        <w:rPr>
          <w:rFonts w:ascii="David" w:eastAsia="Calibri" w:hAnsi="David"/>
          <w:b/>
          <w:bCs/>
          <w:rtl/>
        </w:rPr>
        <w:t xml:space="preserve">"כדי לעמוד על עוצמת הקשר שבין העבירות שׂוּמה על בית המשפט לעמוד על נסיבותיו העובדתיות של העניין שלפניו, </w:t>
      </w:r>
      <w:r w:rsidRPr="00007E3E">
        <w:rPr>
          <w:rFonts w:ascii="David" w:eastAsia="Calibri" w:hAnsi="David"/>
          <w:b/>
          <w:bCs/>
          <w:rtl/>
        </w:rPr>
        <w:lastRenderedPageBreak/>
        <w:t>ולבחון אם יש בהן כדי להצביע על קשר הדוק בין העבירות. נסיבות עובדתיות אלה מהוות "מבחני עזר" לקביעת עוצמת הקשר. במסגרת זו ניתן לבחון, למשל, האם ביצוען של העבירות מאופיין בתכנון; האם ניתן להצביע על שיטתיות בביצוע העבירות; האם העבירות התרחשו בסמיכות של זמן או מקום; האם ביצועה של עבירה אחת נועד לאפשר את ביצועה של העבירה האחרת או את ההימלטות לאחר ביצועה, וכיוצא באלו נסיבות עובדתיות. קיומה של נסיבה אחת או יותר מנסיבות אלו (ואין זו רשימה סגורה) עשוי להעיד על קשר הדוק בין העבירות השונות, המלמד כי באירוע אחד עסקינן. בבחינת הנסיבות העובדתיות, מן ההכרח לבית המשפט להעמיד לנגד עיניו את השאלה האם השקפה על העבירות כעל כמה אירועים תהא מלאכותית, באופן שיגרע ממהות העניין בכללותו, או שלא ישקף את סיפור המעשה כהווייתו".</w:t>
      </w:r>
      <w:r w:rsidRPr="00007E3E">
        <w:rPr>
          <w:rFonts w:ascii="David" w:eastAsia="Calibri" w:hAnsi="David"/>
          <w:b/>
          <w:bCs/>
          <w:highlight w:val="yellow"/>
          <w:rtl/>
        </w:rPr>
        <w:t xml:space="preserve">      </w:t>
      </w:r>
    </w:p>
    <w:p w:rsidR="00007E3E" w:rsidRPr="00007E3E" w:rsidRDefault="00007E3E" w:rsidP="00007E3E">
      <w:pPr>
        <w:spacing w:line="360" w:lineRule="auto"/>
        <w:jc w:val="both"/>
        <w:rPr>
          <w:rFonts w:ascii="David" w:eastAsia="Calibri" w:hAnsi="David"/>
          <w:rtl/>
        </w:rPr>
      </w:pPr>
    </w:p>
    <w:p w:rsidR="00007E3E" w:rsidRPr="00007E3E" w:rsidRDefault="00007E3E" w:rsidP="00007E3E">
      <w:pPr>
        <w:spacing w:line="360" w:lineRule="auto"/>
        <w:jc w:val="both"/>
        <w:rPr>
          <w:rFonts w:ascii="David" w:eastAsia="Calibri" w:hAnsi="David"/>
          <w:rtl/>
        </w:rPr>
      </w:pPr>
      <w:r w:rsidRPr="00007E3E">
        <w:rPr>
          <w:rFonts w:ascii="David" w:eastAsia="Calibri" w:hAnsi="David"/>
          <w:rtl/>
        </w:rPr>
        <w:t xml:space="preserve">לאחר שנתנו דעתנו לעניין זה, והגם שמדובר באירועים שהתפרשו על פני מספר שנים וכלפי מתלוננות שונות, ואפשרי לקבוע מתחמי ענישה נפרדים, נראה כי נוכח קיומו של קשר ענייני הדוק בין האירועים, באשר בשלושת האישומים נעברו העבירות כלפי צעירות שהתאמנו אצל הנאשם ושבמסגרת זו נוצר הקשר ביניהם, אפיוני העבירות דומים ובמהותם דובר בניצול תלותן של הצעירות בנאשם, ניצול זמינותן, ביצוע העבירות באופן מדורג, החל באיתורן, יצירת אינטימיות, ביצוע מעשים מגונים ובהמשך - כלפי שתיים מהן – אף מעשי סדום, והכל על רקע היכרותם המקצועית ובנסיבות דומות, נכון לקבוע להן מתחם ענישה אחד, זאת בהתאם לסעיף 40יג לחוק ובהתאם להלכה שנקבעה בע"פ 4910/13 </w:t>
      </w:r>
      <w:r w:rsidRPr="00007E3E">
        <w:rPr>
          <w:rFonts w:ascii="David" w:eastAsia="Calibri" w:hAnsi="David"/>
          <w:b/>
          <w:bCs/>
          <w:rtl/>
        </w:rPr>
        <w:t>ג'אבר נ' מדינת ישראל</w:t>
      </w:r>
      <w:r w:rsidRPr="00007E3E">
        <w:rPr>
          <w:rFonts w:ascii="David" w:eastAsia="Calibri" w:hAnsi="David"/>
          <w:rtl/>
        </w:rPr>
        <w:t xml:space="preserve"> (29.10.2014), ע"פ 1127/13 </w:t>
      </w:r>
      <w:r w:rsidRPr="00007E3E">
        <w:rPr>
          <w:rFonts w:ascii="David" w:eastAsia="Calibri" w:hAnsi="David"/>
          <w:b/>
          <w:bCs/>
          <w:rtl/>
        </w:rPr>
        <w:t>גברזיי נ' מדינת ישראל</w:t>
      </w:r>
      <w:r w:rsidRPr="00007E3E">
        <w:rPr>
          <w:rFonts w:ascii="David" w:eastAsia="Calibri" w:hAnsi="David"/>
          <w:rtl/>
        </w:rPr>
        <w:t xml:space="preserve"> (15.01.2014)</w:t>
      </w:r>
      <w:r w:rsidRPr="00007E3E">
        <w:rPr>
          <w:rFonts w:ascii="David" w:eastAsia="Calibri" w:hAnsi="David"/>
          <w:b/>
          <w:bCs/>
          <w:rtl/>
        </w:rPr>
        <w:t xml:space="preserve"> </w:t>
      </w:r>
      <w:r w:rsidRPr="00007E3E">
        <w:rPr>
          <w:rFonts w:ascii="David" w:eastAsia="Calibri" w:hAnsi="David"/>
          <w:rtl/>
        </w:rPr>
        <w:t xml:space="preserve">ובע"פ 4702/15 </w:t>
      </w:r>
      <w:r w:rsidRPr="00007E3E">
        <w:rPr>
          <w:rFonts w:ascii="David" w:eastAsia="Calibri" w:hAnsi="David"/>
          <w:b/>
          <w:bCs/>
          <w:rtl/>
        </w:rPr>
        <w:t>עביד נ' מדינת ישראל</w:t>
      </w:r>
      <w:r w:rsidRPr="00007E3E">
        <w:rPr>
          <w:rFonts w:ascii="David" w:eastAsia="Calibri" w:hAnsi="David"/>
          <w:rtl/>
        </w:rPr>
        <w:t xml:space="preserve"> (20.04.2016).</w:t>
      </w:r>
      <w:r w:rsidRPr="00007E3E">
        <w:rPr>
          <w:rFonts w:ascii="David" w:hAnsi="David"/>
          <w:rtl/>
        </w:rPr>
        <w:t xml:space="preserve"> </w:t>
      </w:r>
    </w:p>
    <w:p w:rsidR="00007E3E" w:rsidRPr="00007E3E" w:rsidRDefault="00007E3E" w:rsidP="00007E3E">
      <w:pPr>
        <w:spacing w:line="360" w:lineRule="auto"/>
        <w:jc w:val="both"/>
        <w:rPr>
          <w:rFonts w:ascii="David" w:eastAsia="Calibri" w:hAnsi="David"/>
          <w:rtl/>
        </w:rPr>
      </w:pPr>
    </w:p>
    <w:p w:rsidR="00007E3E" w:rsidRPr="00007E3E" w:rsidRDefault="00007E3E" w:rsidP="00007E3E">
      <w:pPr>
        <w:spacing w:line="360" w:lineRule="auto"/>
        <w:jc w:val="both"/>
        <w:rPr>
          <w:rFonts w:ascii="David" w:eastAsia="Calibri" w:hAnsi="David"/>
          <w:rtl/>
        </w:rPr>
      </w:pPr>
      <w:r w:rsidRPr="00007E3E">
        <w:rPr>
          <w:rFonts w:ascii="David" w:eastAsia="Calibri" w:hAnsi="David"/>
          <w:rtl/>
        </w:rPr>
        <w:t>על פי סעיף 40ב לחוק העונשין, העיקרון המנחה בענישה הוא עיקרון ההלימה, קרי, קיומו של יחס הולם בין חומרת המעשה ומידת אשמו של הנאשם, לבין סוג ומידת העונש המוטל.</w:t>
      </w:r>
    </w:p>
    <w:p w:rsidR="00007E3E" w:rsidRPr="00007E3E" w:rsidRDefault="00007E3E" w:rsidP="00007E3E">
      <w:pPr>
        <w:spacing w:line="360" w:lineRule="auto"/>
        <w:jc w:val="both"/>
        <w:rPr>
          <w:rFonts w:ascii="David" w:eastAsia="Calibri" w:hAnsi="David"/>
          <w:rtl/>
        </w:rPr>
      </w:pPr>
      <w:r w:rsidRPr="00007E3E">
        <w:rPr>
          <w:rFonts w:ascii="David" w:eastAsia="Calibri" w:hAnsi="David"/>
          <w:rtl/>
        </w:rPr>
        <w:t xml:space="preserve">על פי סעיף 40ג לחוק, יקבע בית המשפט את מתחם הענישה בהתאם לעיקרון ההלימה הנ"ל, ולשם כך יתחשב בערך החברתי שנפגע מביצוע העבירה, במידת הפגיעה בו, במדיניות הענישה הנהוגה ובנסיבות הקשורות בביצוע העבירה. </w:t>
      </w:r>
    </w:p>
    <w:p w:rsidR="00007E3E" w:rsidRPr="00007E3E" w:rsidRDefault="00007E3E" w:rsidP="00007E3E">
      <w:pPr>
        <w:spacing w:line="360" w:lineRule="auto"/>
        <w:jc w:val="both"/>
        <w:rPr>
          <w:rFonts w:ascii="David" w:hAnsi="David"/>
          <w:rtl/>
        </w:rPr>
      </w:pPr>
    </w:p>
    <w:p w:rsidR="00007E3E" w:rsidRPr="00007E3E" w:rsidRDefault="00007E3E" w:rsidP="00007E3E">
      <w:pPr>
        <w:spacing w:line="360" w:lineRule="auto"/>
        <w:jc w:val="both"/>
        <w:rPr>
          <w:rFonts w:ascii="David" w:eastAsia="Calibri" w:hAnsi="David"/>
          <w:rtl/>
        </w:rPr>
      </w:pPr>
      <w:r w:rsidRPr="00007E3E">
        <w:rPr>
          <w:rFonts w:ascii="David" w:hAnsi="David"/>
          <w:rtl/>
        </w:rPr>
        <w:t xml:space="preserve">הנאשם הורשע בשורה של עבירות מין אותן ביצע בצעירה בת 19 ובשתי קטינות על פני תקופה של מספר שנים, בהן, בין היתר, אימן, העביר שיעורי קרקס והפיק הופעות בתחום. כלל הנפגעות ראו </w:t>
      </w:r>
      <w:r w:rsidRPr="00007E3E">
        <w:rPr>
          <w:rFonts w:ascii="David" w:hAnsi="David"/>
          <w:rtl/>
        </w:rPr>
        <w:lastRenderedPageBreak/>
        <w:t>בנאשם דמות להערצה וחיקוי, 'המאסטר' בתחום הקרקס, רצו ללמוד ממנו ולבלות בחברתו, מתוך תשוקה אמתית למקצוע ורצון לדריסת רגל בעולם שנראה עבורן קסום ונוצץ.</w:t>
      </w:r>
    </w:p>
    <w:p w:rsidR="00007E3E" w:rsidRPr="00007E3E" w:rsidRDefault="00007E3E" w:rsidP="00007E3E">
      <w:pPr>
        <w:spacing w:line="360" w:lineRule="auto"/>
        <w:jc w:val="both"/>
        <w:rPr>
          <w:rFonts w:ascii="David" w:eastAsia="Calibri" w:hAnsi="David"/>
          <w:rtl/>
        </w:rPr>
      </w:pPr>
    </w:p>
    <w:p w:rsidR="00007E3E" w:rsidRPr="00007E3E" w:rsidRDefault="00007E3E" w:rsidP="00007E3E">
      <w:pPr>
        <w:spacing w:line="360" w:lineRule="auto"/>
        <w:jc w:val="both"/>
        <w:rPr>
          <w:rFonts w:ascii="David" w:eastAsia="Calibri" w:hAnsi="David"/>
          <w:rtl/>
        </w:rPr>
      </w:pPr>
      <w:r w:rsidRPr="00007E3E">
        <w:rPr>
          <w:rFonts w:ascii="David" w:hAnsi="David"/>
          <w:rtl/>
        </w:rPr>
        <w:t>דובר על מתלוננות צעירות, שחלקן פיתחו מין תלות רגשית בנאשם, מה שהפך אותן לזמינות, 'טרף קל' עבורו. חלק מן המתלוננות העידו, ואחת מהן סיפרה על הפגיעה הפיזית אותה חוותה בהיותה אך בת 15, את חוסר המודעות עד תום כי מעשי הנאשם אינם תקינים, את הרגשות אותן האמינה כי חשה באותה העת, ואלו המחישו את עיוותי החשיבה וטשטוש הגבולות שאפיינו את היחסים שלה עם הנאשם.</w:t>
      </w:r>
    </w:p>
    <w:p w:rsidR="00007E3E" w:rsidRPr="00007E3E" w:rsidRDefault="00007E3E" w:rsidP="00007E3E">
      <w:pPr>
        <w:spacing w:line="360" w:lineRule="auto"/>
        <w:jc w:val="both"/>
        <w:rPr>
          <w:rFonts w:ascii="David" w:eastAsia="Calibri" w:hAnsi="David"/>
          <w:rtl/>
        </w:rPr>
      </w:pPr>
    </w:p>
    <w:p w:rsidR="00007E3E" w:rsidRPr="00007E3E" w:rsidRDefault="00007E3E" w:rsidP="00007E3E">
      <w:pPr>
        <w:spacing w:line="360" w:lineRule="auto"/>
        <w:jc w:val="both"/>
        <w:rPr>
          <w:rFonts w:ascii="David" w:eastAsia="Calibri" w:hAnsi="David"/>
          <w:rtl/>
        </w:rPr>
      </w:pPr>
      <w:r w:rsidRPr="00007E3E">
        <w:rPr>
          <w:rFonts w:ascii="David" w:hAnsi="David"/>
          <w:rtl/>
        </w:rPr>
        <w:t>הנאשם, שידע זאת וחווה בעצמו את הריגוש שבהשתייכות לעולם הקרקס, ניצל את הזמינות שהייתה לו אל נפגעות העבירה, חצה את הגבולות ופגע במתלוננות בזו אחר זו ובשיטות דומות. נראה שהנאשם דאג שתחילת הקשר תהא נעימה, ואף מקצועית, ובנה את אמונן של המתלוננות בו, אך בהזדמנות הראשונה ומבלי שהן מצפות לכך ביצע בהן את זממו, כשחלק מהמתלוננות צעירות מאוד.</w:t>
      </w:r>
    </w:p>
    <w:p w:rsidR="00007E3E" w:rsidRPr="00007E3E" w:rsidRDefault="00007E3E" w:rsidP="00007E3E">
      <w:pPr>
        <w:spacing w:line="360" w:lineRule="auto"/>
        <w:jc w:val="both"/>
        <w:rPr>
          <w:rFonts w:ascii="David" w:eastAsia="Calibri" w:hAnsi="David"/>
          <w:rtl/>
        </w:rPr>
      </w:pPr>
    </w:p>
    <w:p w:rsidR="00007E3E" w:rsidRPr="00007E3E" w:rsidRDefault="00007E3E" w:rsidP="00007E3E">
      <w:pPr>
        <w:spacing w:line="360" w:lineRule="auto"/>
        <w:jc w:val="both"/>
        <w:rPr>
          <w:rFonts w:ascii="David" w:eastAsia="Calibri" w:hAnsi="David"/>
          <w:rtl/>
        </w:rPr>
      </w:pPr>
      <w:r w:rsidRPr="00007E3E">
        <w:rPr>
          <w:rFonts w:ascii="David" w:eastAsia="Calibri" w:hAnsi="David"/>
          <w:rtl/>
        </w:rPr>
        <w:t>אשר לערכים החברתיים שנפגעו מביצוע העבירה, הרי שמעשיו של הנאשם במתלוננות פגעו בערך של האוטונומיה של אדם על גופו וזכותו לפרטיות, וכן פגעו בערך הבסיסי של שמירה על שלומו ובטחונו של אדם, קל וחומר קטין, שמטבע הדברים הוא חלש ופגיע יותר, פיזית ונפשית. הנאשם ניצל את האמון שנתנו בו המתלוננות ובני משפחתן והפר את מחויבותו בצורה גסה ובוטה.</w:t>
      </w:r>
    </w:p>
    <w:p w:rsidR="00007E3E" w:rsidRPr="00007E3E" w:rsidRDefault="00007E3E" w:rsidP="00007E3E">
      <w:pPr>
        <w:spacing w:line="360" w:lineRule="auto"/>
        <w:jc w:val="both"/>
        <w:rPr>
          <w:rFonts w:ascii="David" w:eastAsia="Calibri" w:hAnsi="David"/>
          <w:rtl/>
        </w:rPr>
      </w:pPr>
    </w:p>
    <w:p w:rsidR="00007E3E" w:rsidRPr="00007E3E" w:rsidRDefault="00007E3E" w:rsidP="00007E3E">
      <w:pPr>
        <w:spacing w:line="360" w:lineRule="auto"/>
        <w:jc w:val="both"/>
        <w:rPr>
          <w:rFonts w:ascii="David" w:eastAsia="Calibri" w:hAnsi="David"/>
          <w:rtl/>
        </w:rPr>
      </w:pPr>
      <w:r w:rsidRPr="00007E3E">
        <w:rPr>
          <w:rFonts w:ascii="David" w:eastAsia="Calibri" w:hAnsi="David"/>
          <w:rtl/>
        </w:rPr>
        <w:t>מידת הפגיעה בערכים המוגנים בענייננו היא גבוהה מאוד, הן בשל טיב המעשים והן בשל הנסיבות בהן בוצעו. לנאשם הייתה גישה כמעט מוחלטת לחיי המתלוננות, כאשר הוא קובע את זמני האימונים, לעיתים אתן בלבד, מבלה אתן שעות רבות, מסיע אותן להופעות מחוץ לעיר לעיתים גם זאת ביחידות, ודורש מהן באמתלות מקצועיות להתפשט בנוכחותו, כל זאת כדי לספק את יצריו תוך ניצול מעמדו וסמכותו.</w:t>
      </w:r>
    </w:p>
    <w:p w:rsidR="00007E3E" w:rsidRPr="00007E3E" w:rsidRDefault="00007E3E" w:rsidP="00007E3E">
      <w:pPr>
        <w:spacing w:line="360" w:lineRule="auto"/>
        <w:jc w:val="both"/>
        <w:rPr>
          <w:rFonts w:ascii="David" w:hAnsi="David"/>
          <w:rtl/>
        </w:rPr>
      </w:pPr>
    </w:p>
    <w:p w:rsidR="00007E3E" w:rsidRPr="00007E3E" w:rsidRDefault="00007E3E" w:rsidP="00007E3E">
      <w:pPr>
        <w:spacing w:line="360" w:lineRule="auto"/>
        <w:jc w:val="both"/>
        <w:rPr>
          <w:rFonts w:ascii="David" w:eastAsia="Calibri" w:hAnsi="David"/>
          <w:rtl/>
        </w:rPr>
      </w:pPr>
      <w:r w:rsidRPr="00007E3E">
        <w:rPr>
          <w:rFonts w:ascii="David" w:hAnsi="David"/>
          <w:rtl/>
        </w:rPr>
        <w:t xml:space="preserve">יפים לעניינו דברים </w:t>
      </w:r>
      <w:r w:rsidRPr="00007E3E">
        <w:rPr>
          <w:rFonts w:ascii="David" w:hAnsi="David"/>
          <w:color w:val="000000" w:themeColor="text1"/>
          <w:rtl/>
        </w:rPr>
        <w:t>שנכתבו ב</w:t>
      </w:r>
      <w:hyperlink r:id="rId10" w:history="1">
        <w:r w:rsidRPr="00DD5A6C">
          <w:rPr>
            <w:rFonts w:ascii="David" w:hAnsi="David"/>
            <w:color w:val="000000" w:themeColor="text1"/>
            <w:rtl/>
          </w:rPr>
          <w:t>ע"פ 1281/06</w:t>
        </w:r>
      </w:hyperlink>
      <w:r w:rsidRPr="00DD5A6C">
        <w:rPr>
          <w:rFonts w:ascii="David" w:hAnsi="David"/>
          <w:color w:val="000000" w:themeColor="text1"/>
          <w:rtl/>
        </w:rPr>
        <w:t xml:space="preserve"> </w:t>
      </w:r>
      <w:r w:rsidRPr="00007E3E">
        <w:rPr>
          <w:rFonts w:ascii="David" w:hAnsi="David" w:hint="cs"/>
          <w:b/>
          <w:bCs/>
          <w:color w:val="000000" w:themeColor="text1"/>
          <w:rtl/>
        </w:rPr>
        <w:t xml:space="preserve">בורשטיין </w:t>
      </w:r>
      <w:r w:rsidRPr="00007E3E">
        <w:rPr>
          <w:rFonts w:ascii="David" w:hAnsi="David"/>
          <w:b/>
          <w:bCs/>
          <w:rtl/>
        </w:rPr>
        <w:t>נ' מדינת ישראל</w:t>
      </w:r>
      <w:r w:rsidRPr="00007E3E">
        <w:rPr>
          <w:rFonts w:ascii="David" w:hAnsi="David"/>
          <w:rtl/>
        </w:rPr>
        <w:t xml:space="preserve"> (16.4.08), בו הורשע נאשם, ששימש גנן ומורה, בביצוע מעשים מיניים בקטינים שלימד:</w:t>
      </w:r>
    </w:p>
    <w:p w:rsidR="00007E3E" w:rsidRPr="00007E3E" w:rsidRDefault="00007E3E" w:rsidP="00007E3E">
      <w:pPr>
        <w:spacing w:line="360" w:lineRule="auto"/>
        <w:ind w:left="502"/>
        <w:contextualSpacing/>
        <w:jc w:val="both"/>
        <w:rPr>
          <w:rFonts w:ascii="David" w:hAnsi="David"/>
          <w:rtl/>
        </w:rPr>
      </w:pPr>
    </w:p>
    <w:p w:rsidR="00007E3E" w:rsidRPr="00007E3E" w:rsidRDefault="00007E3E" w:rsidP="004971C7">
      <w:pPr>
        <w:spacing w:line="360" w:lineRule="auto"/>
        <w:ind w:left="1440" w:right="567"/>
        <w:contextualSpacing/>
        <w:jc w:val="both"/>
        <w:rPr>
          <w:rFonts w:ascii="David" w:hAnsi="David"/>
        </w:rPr>
      </w:pPr>
      <w:r w:rsidRPr="00007E3E">
        <w:rPr>
          <w:rFonts w:ascii="David" w:hAnsi="David"/>
          <w:rtl/>
        </w:rPr>
        <w:t>"</w:t>
      </w:r>
      <w:r w:rsidRPr="00007E3E">
        <w:rPr>
          <w:rFonts w:ascii="David" w:hAnsi="David"/>
          <w:b/>
          <w:bCs/>
          <w:rtl/>
        </w:rPr>
        <w:t xml:space="preserve">בית משפט זה שב והביע בפסיקתו את הצורך בנקיטת מדיניות ענישה מחמירה בעבירות מין שבוצעו בקטינים, וזאת על אחת כמה וכמה כאשר מדובר בעבירות שבוצעו בנסיבות מחמירות כפי שבענייננו - כלפי מספר קרבנות; לאורך תקופה ממושכת ובהזדמנויות רבות ושונות; תוך ניצול יחסי אמון, תלות ומרות; ותוך גרימת פגיעה קשה בגופם, בנפשם ובכבודם של </w:t>
      </w:r>
      <w:r w:rsidRPr="00007E3E">
        <w:rPr>
          <w:rFonts w:ascii="David" w:hAnsi="David"/>
          <w:b/>
          <w:bCs/>
          <w:rtl/>
        </w:rPr>
        <w:lastRenderedPageBreak/>
        <w:t>הקרבנות. לא בכדי הוגדרו עבירות אלו כעבירות ה"שקולות כדי רצח נפשו של הקורבן בהותירן בו צלקות שלא יימחו""</w:t>
      </w:r>
      <w:r w:rsidR="004971C7">
        <w:rPr>
          <w:rFonts w:ascii="David" w:hAnsi="David"/>
          <w:rtl/>
        </w:rPr>
        <w:t>...</w:t>
      </w:r>
    </w:p>
    <w:p w:rsidR="00007E3E" w:rsidRPr="00007E3E" w:rsidRDefault="00007E3E" w:rsidP="00007E3E">
      <w:pPr>
        <w:spacing w:line="360" w:lineRule="auto"/>
        <w:ind w:left="1440" w:right="567"/>
        <w:contextualSpacing/>
        <w:jc w:val="both"/>
        <w:rPr>
          <w:rFonts w:ascii="David" w:hAnsi="David"/>
        </w:rPr>
      </w:pPr>
      <w:r w:rsidRPr="00007E3E">
        <w:rPr>
          <w:rFonts w:ascii="David" w:hAnsi="David"/>
          <w:rtl/>
        </w:rPr>
        <w:t xml:space="preserve"> </w:t>
      </w:r>
    </w:p>
    <w:p w:rsidR="00007E3E" w:rsidRPr="00007E3E" w:rsidRDefault="00007E3E" w:rsidP="00007E3E">
      <w:pPr>
        <w:spacing w:line="360" w:lineRule="auto"/>
        <w:jc w:val="both"/>
        <w:rPr>
          <w:rFonts w:ascii="David" w:eastAsia="Calibri" w:hAnsi="David"/>
          <w:rtl/>
        </w:rPr>
      </w:pPr>
      <w:r w:rsidRPr="00007E3E">
        <w:rPr>
          <w:rFonts w:ascii="David" w:eastAsia="Calibri" w:hAnsi="David"/>
          <w:rtl/>
        </w:rPr>
        <w:t xml:space="preserve">עבירות מין הן עבירות שטבועה בהן חומרה אינהרנטית, עבירות הכרוכות בפגיעה בערכים חברתיים יסודיים רבים, בראשם הצורך בהגנה על שלומו, בטחונו, נפשו, כבודו והאוטונומיה על גופו של נפגע העבירה. עבירות מין חמורות מחללות את כבודו של נפגע העבירה, מבזות אותו ומותירות בנפשו צלקות עמוקות, והדברים נכונים ביתר שאת עת עסקינן בעבירות מין בקטינים, ובכלל זאת גם בעבירות מין אשר מעורבים בהן יחסי מרות ואחריות, כאשר האחראי, לרוב בעל יתרון בגיל, בכוח, ובסמכות, אדם אשר העיניים נשואות אליו והוא מהווה דמות לחיקוי, מנצל את תלותן של הנפגעות בו ואת האמון שנתנו בו, מבלי שהיה עליהן להיזהר מפגיעה, ואת השתוקקותן לחוות הצלחה ולהיכנס לעולם האמנות והזוהר. </w:t>
      </w:r>
    </w:p>
    <w:p w:rsidR="00007E3E" w:rsidRPr="00007E3E" w:rsidRDefault="00007E3E" w:rsidP="00007E3E">
      <w:pPr>
        <w:spacing w:line="360" w:lineRule="auto"/>
        <w:jc w:val="both"/>
        <w:rPr>
          <w:rFonts w:ascii="David" w:eastAsia="Calibri" w:hAnsi="David"/>
          <w:rtl/>
        </w:rPr>
      </w:pPr>
    </w:p>
    <w:p w:rsidR="00007E3E" w:rsidRPr="00007E3E" w:rsidRDefault="00007E3E" w:rsidP="00007E3E">
      <w:pPr>
        <w:spacing w:line="360" w:lineRule="auto"/>
        <w:jc w:val="both"/>
        <w:rPr>
          <w:rFonts w:ascii="David" w:eastAsia="Calibri" w:hAnsi="David"/>
        </w:rPr>
      </w:pPr>
      <w:r w:rsidRPr="00007E3E">
        <w:rPr>
          <w:rFonts w:ascii="David" w:eastAsia="Calibri" w:hAnsi="David"/>
          <w:rtl/>
        </w:rPr>
        <w:t xml:space="preserve">במקום לספק לאותן מתלוננות סביבה בריאה, בטוחה ומוגנת, ולחלוק מכישוריו האישיים והמקצועיים כשהן נערות צעירות שמבקשות להתאמן ולהתפתח באופן ספורטיבי ומקצועי, ניצל זאת הנאשם לרעה בצורה קשה ומחפירה וביצע במתלוננות עבירות מין באין מפריע ובלא כל חשש. </w:t>
      </w:r>
    </w:p>
    <w:p w:rsidR="00007E3E" w:rsidRPr="00007E3E" w:rsidRDefault="00007E3E" w:rsidP="00007E3E">
      <w:pPr>
        <w:spacing w:line="360" w:lineRule="auto"/>
        <w:jc w:val="both"/>
        <w:rPr>
          <w:rFonts w:ascii="David" w:eastAsia="Calibri" w:hAnsi="David"/>
          <w:rtl/>
        </w:rPr>
      </w:pPr>
    </w:p>
    <w:p w:rsidR="00007E3E" w:rsidRPr="00007E3E" w:rsidRDefault="00007E3E" w:rsidP="00007E3E">
      <w:pPr>
        <w:spacing w:line="360" w:lineRule="auto"/>
        <w:jc w:val="both"/>
        <w:rPr>
          <w:rFonts w:ascii="David" w:eastAsia="Calibri" w:hAnsi="David"/>
          <w:rtl/>
        </w:rPr>
      </w:pPr>
      <w:r w:rsidRPr="00007E3E">
        <w:rPr>
          <w:rFonts w:ascii="David" w:eastAsia="Calibri" w:hAnsi="David"/>
          <w:rtl/>
        </w:rPr>
        <w:t>זאת ועוד, ניתן ללמוד על חומרת מעשיו של הנאשם גם מכך שמרבית הנסיבות לחומרה הקשורות בביצוע העבירה, המפורטות בסעיף 40ט(א) לחוק העונשין מתקיימות בענייננו, ובכלל זה התכנון המוקדם של הנאשם עת היה 'מסמן' בכל תקופה נערה מסוימת, יוזם עמה פגישות ביחידות, במקרים מסוימים נוגע בה באזורים אינטימיים תוך שכנוע כי מדובר בעניין מקצועי לחלוטין, במקרים אחרים מוביל את המתלוננת למקום מבודד או לביתו וזאת כדי לבצע בכולן מעשים מגונים, במתלוננת השנייה אף מעשה סדום בקטינה ובעילה אסורה בהסכמה והכל תוך ניצול יחסי תלות, מרות חינוך והשגחה, ובמתלוננת השלישית גם מספר עבירות של מעשה סדום בקטינה מעל גיל 14 ומתחת לגיל 16.</w:t>
      </w:r>
    </w:p>
    <w:p w:rsidR="00007E3E" w:rsidRPr="00007E3E" w:rsidRDefault="00007E3E" w:rsidP="00007E3E">
      <w:pPr>
        <w:spacing w:line="360" w:lineRule="auto"/>
        <w:jc w:val="both"/>
        <w:rPr>
          <w:rFonts w:ascii="David" w:eastAsia="Calibri" w:hAnsi="David"/>
          <w:rtl/>
        </w:rPr>
      </w:pPr>
      <w:r w:rsidRPr="00007E3E">
        <w:rPr>
          <w:rFonts w:ascii="David" w:eastAsia="Calibri" w:hAnsi="David"/>
          <w:rtl/>
        </w:rPr>
        <w:t xml:space="preserve">אחריות הנאשם בלעדית, וביכולתו היה לחדול ממעשיו עוד טרם הסלימו ממתלוננת למתלוננת. </w:t>
      </w:r>
    </w:p>
    <w:p w:rsidR="00007E3E" w:rsidRPr="00007E3E" w:rsidRDefault="00007E3E" w:rsidP="00007E3E">
      <w:pPr>
        <w:spacing w:line="360" w:lineRule="auto"/>
        <w:jc w:val="both"/>
        <w:rPr>
          <w:rFonts w:ascii="David" w:eastAsia="Calibri" w:hAnsi="David"/>
          <w:rtl/>
        </w:rPr>
      </w:pPr>
      <w:r w:rsidRPr="00007E3E">
        <w:rPr>
          <w:rFonts w:ascii="David" w:hAnsi="David"/>
          <w:rtl/>
        </w:rPr>
        <w:t xml:space="preserve">את העבירות אותן ביצע במתלוננות הקטינות יש לראות בחומרה יתרה, שכן יכולת ההבנה של הסיטואציות עד תומן ושיקול הדעת של קטינים אינם בשלים עד תום, ולכן ניצולן בשלב זה חמור עוד יותר, והפסיקה התייחסה לכך אינספור פעמים, כך למשל ראו בע"פ 3936/22 </w:t>
      </w:r>
      <w:r w:rsidRPr="00007E3E">
        <w:rPr>
          <w:rFonts w:ascii="David" w:hAnsi="David"/>
          <w:b/>
          <w:bCs/>
          <w:rtl/>
        </w:rPr>
        <w:t xml:space="preserve">מדינת ישראל נ' יואב בושמיץ </w:t>
      </w:r>
      <w:r w:rsidRPr="00007E3E">
        <w:rPr>
          <w:rFonts w:ascii="David" w:hAnsi="David"/>
          <w:rtl/>
        </w:rPr>
        <w:t>(10.11.22) וההפניות שם (פסקה 15 לפסק דינו של כב' הש' מינץ):</w:t>
      </w:r>
    </w:p>
    <w:p w:rsidR="00007E3E" w:rsidRPr="00007E3E" w:rsidRDefault="00007E3E" w:rsidP="00007E3E">
      <w:pPr>
        <w:spacing w:line="360" w:lineRule="auto"/>
        <w:jc w:val="both"/>
        <w:rPr>
          <w:rFonts w:ascii="David" w:eastAsia="Calibri" w:hAnsi="David"/>
          <w:rtl/>
        </w:rPr>
      </w:pPr>
    </w:p>
    <w:p w:rsidR="00007E3E" w:rsidRPr="00007E3E" w:rsidRDefault="00007E3E" w:rsidP="00007E3E">
      <w:pPr>
        <w:spacing w:line="360" w:lineRule="auto"/>
        <w:ind w:left="1076" w:right="1276"/>
        <w:jc w:val="both"/>
        <w:rPr>
          <w:rFonts w:ascii="David" w:hAnsi="David"/>
          <w:b/>
          <w:bCs/>
          <w:rtl/>
        </w:rPr>
      </w:pPr>
      <w:r w:rsidRPr="00007E3E">
        <w:rPr>
          <w:rFonts w:ascii="David" w:hAnsi="David"/>
          <w:b/>
          <w:bCs/>
          <w:rtl/>
        </w:rPr>
        <w:t>"לא פעם ולא פעמיים עמד בית משפט זה על החומרה הטמונה בעבירות מין בכלל, ובעבירות מין בקטינים בפרט, המתאפיינות בניצול תמימותו וחולשתו של הקטין לסיפוק יצריו של הפוגע</w:t>
      </w:r>
      <w:r w:rsidR="004971C7">
        <w:rPr>
          <w:rFonts w:ascii="David" w:hAnsi="David"/>
          <w:b/>
          <w:bCs/>
          <w:rtl/>
        </w:rPr>
        <w:t>...</w:t>
      </w:r>
      <w:r w:rsidRPr="00007E3E">
        <w:rPr>
          <w:rFonts w:ascii="David" w:hAnsi="David"/>
          <w:b/>
          <w:bCs/>
          <w:rtl/>
        </w:rPr>
        <w:t xml:space="preserve"> בהתאם לכך נקבע כי מדיניות הענישה בעבירות מין צריכה להיות מחמירה ולבטא לא רק את האינטרס הציבורי בהרתעתם של עברייני מין פוטנציאליים, אלא גם את </w:t>
      </w:r>
      <w:r w:rsidRPr="00007E3E">
        <w:rPr>
          <w:rFonts w:ascii="David" w:hAnsi="David"/>
          <w:b/>
          <w:bCs/>
          <w:rtl/>
        </w:rPr>
        <w:lastRenderedPageBreak/>
        <w:t>הנזקים המשמעותיים הנגרמים לגופם ונפשם של נפגעי עבירות אלו. זאת כאשר הפגיעה בנפשו של קטין, בשלב שבו טרם התגבשה אישיותו באופן מלא, מותירה בו פעמים רבות צלקות עמוקות ומתמשכות אשר ילוו אותו שנים ארוכות</w:t>
      </w:r>
      <w:r w:rsidR="004971C7">
        <w:rPr>
          <w:rFonts w:ascii="David" w:hAnsi="David"/>
          <w:b/>
          <w:bCs/>
          <w:rtl/>
        </w:rPr>
        <w:t>...</w:t>
      </w:r>
      <w:r w:rsidRPr="00007E3E">
        <w:rPr>
          <w:rFonts w:ascii="David" w:hAnsi="David"/>
          <w:b/>
          <w:bCs/>
          <w:rtl/>
        </w:rPr>
        <w:t>"</w:t>
      </w:r>
    </w:p>
    <w:p w:rsidR="00007E3E" w:rsidRPr="00007E3E" w:rsidRDefault="00007E3E" w:rsidP="00007E3E">
      <w:pPr>
        <w:tabs>
          <w:tab w:val="left" w:pos="8306"/>
        </w:tabs>
        <w:spacing w:line="360" w:lineRule="auto"/>
        <w:ind w:left="84" w:right="142"/>
        <w:jc w:val="both"/>
        <w:rPr>
          <w:rFonts w:ascii="David" w:hAnsi="David"/>
          <w:rtl/>
        </w:rPr>
      </w:pPr>
    </w:p>
    <w:p w:rsidR="00007E3E" w:rsidRPr="00007E3E" w:rsidRDefault="00007E3E" w:rsidP="00007E3E">
      <w:pPr>
        <w:tabs>
          <w:tab w:val="left" w:pos="8306"/>
        </w:tabs>
        <w:spacing w:line="360" w:lineRule="auto"/>
        <w:ind w:left="84" w:right="142"/>
        <w:jc w:val="both"/>
        <w:rPr>
          <w:rFonts w:ascii="David" w:hAnsi="David"/>
          <w:rtl/>
        </w:rPr>
      </w:pPr>
      <w:r w:rsidRPr="00007E3E">
        <w:rPr>
          <w:rFonts w:ascii="David" w:hAnsi="David"/>
          <w:rtl/>
        </w:rPr>
        <w:t xml:space="preserve">חומרה נוספת נעוצה ביחסי המרות בין הנאשם למתלוננות, יחסים שנרקמו כאשר הנאשם משמש כמורה במסגרת מעין לימודית. אף כאשר ישנה "הסכמה" לכאורה במסגרת כזו, לעיתים תהא היא מכורח אותם יחסים ולא ניתן לייחס לה משקל רב או משקל כלשהו. יפים בהקשר זה הדברים שנאמרו </w:t>
      </w:r>
      <w:r w:rsidRPr="00DD5A6C">
        <w:rPr>
          <w:rFonts w:ascii="David" w:hAnsi="David"/>
          <w:rtl/>
        </w:rPr>
        <w:t>ב</w:t>
      </w:r>
      <w:hyperlink r:id="rId11" w:history="1">
        <w:r w:rsidRPr="00DD5A6C">
          <w:rPr>
            <w:rFonts w:ascii="David" w:hAnsi="David"/>
            <w:rtl/>
          </w:rPr>
          <w:t>ע"פ 7730/12</w:t>
        </w:r>
      </w:hyperlink>
      <w:r w:rsidRPr="00007E3E">
        <w:rPr>
          <w:rFonts w:ascii="David" w:hAnsi="David"/>
          <w:rtl/>
        </w:rPr>
        <w:t xml:space="preserve"> </w:t>
      </w:r>
      <w:r w:rsidRPr="00007E3E">
        <w:rPr>
          <w:rFonts w:ascii="David" w:hAnsi="David" w:hint="cs"/>
          <w:b/>
          <w:bCs/>
          <w:rtl/>
        </w:rPr>
        <w:t xml:space="preserve">אזריאלי נ' מדינת ישראל </w:t>
      </w:r>
      <w:r w:rsidRPr="00007E3E">
        <w:rPr>
          <w:rFonts w:ascii="David" w:hAnsi="David" w:hint="cs"/>
          <w:rtl/>
        </w:rPr>
        <w:t>(11.3.2014):</w:t>
      </w:r>
    </w:p>
    <w:p w:rsidR="00007E3E" w:rsidRPr="00007E3E" w:rsidRDefault="00007E3E" w:rsidP="00007E3E">
      <w:pPr>
        <w:tabs>
          <w:tab w:val="left" w:pos="8306"/>
        </w:tabs>
        <w:spacing w:line="360" w:lineRule="auto"/>
        <w:ind w:left="84" w:right="142"/>
        <w:jc w:val="both"/>
        <w:rPr>
          <w:rFonts w:ascii="David" w:hAnsi="David"/>
          <w:rtl/>
        </w:rPr>
      </w:pPr>
    </w:p>
    <w:p w:rsidR="00007E3E" w:rsidRPr="00007E3E" w:rsidRDefault="00007E3E" w:rsidP="00007E3E">
      <w:pPr>
        <w:spacing w:line="360" w:lineRule="auto"/>
        <w:ind w:left="1076" w:right="993"/>
        <w:jc w:val="both"/>
        <w:rPr>
          <w:rFonts w:ascii="David" w:hAnsi="David"/>
          <w:rtl/>
        </w:rPr>
      </w:pPr>
      <w:r w:rsidRPr="00007E3E">
        <w:rPr>
          <w:rFonts w:ascii="David" w:hAnsi="David"/>
          <w:b/>
          <w:bCs/>
          <w:spacing w:val="10"/>
          <w:rtl/>
        </w:rPr>
        <w:t>"</w:t>
      </w:r>
      <w:r w:rsidRPr="00007E3E">
        <w:rPr>
          <w:rFonts w:ascii="David" w:hAnsi="David"/>
          <w:b/>
          <w:bCs/>
          <w:rtl/>
        </w:rPr>
        <w:t xml:space="preserve">כאשר לפנינו קורבן שהוא קטין, מחויבוֹת מערכות האכיפה להגן על שלומו וכבודו ביתר שאת, ובייחוד כאשר מדובר בניצול יחסי מרות בין הקטין לאחראי עליו. כך, ניצול בלתי הוגן של סמכות או יחסי כוח עשוי לעוות את אוטונומיית הרצון של הקורבן ולהביא לביצוע מעשים שלא מתוך הסכמה חופשית". </w:t>
      </w:r>
    </w:p>
    <w:p w:rsidR="00007E3E" w:rsidRPr="00007E3E" w:rsidRDefault="00007E3E" w:rsidP="00007E3E">
      <w:pPr>
        <w:spacing w:line="360" w:lineRule="auto"/>
        <w:jc w:val="both"/>
        <w:rPr>
          <w:rFonts w:ascii="David" w:hAnsi="David"/>
          <w:rtl/>
        </w:rPr>
      </w:pPr>
    </w:p>
    <w:p w:rsidR="00007E3E" w:rsidRPr="00007E3E" w:rsidRDefault="00007E3E" w:rsidP="00007E3E">
      <w:pPr>
        <w:spacing w:line="360" w:lineRule="auto"/>
        <w:jc w:val="both"/>
        <w:rPr>
          <w:rFonts w:ascii="David" w:eastAsia="Calibri" w:hAnsi="David"/>
          <w:rtl/>
        </w:rPr>
      </w:pPr>
      <w:r w:rsidRPr="00007E3E">
        <w:rPr>
          <w:rFonts w:ascii="David" w:hAnsi="David"/>
          <w:rtl/>
        </w:rPr>
        <w:t xml:space="preserve">בענייננו אומנם לא הוגשו תסקירי קורבנות העבירה, </w:t>
      </w:r>
      <w:r w:rsidRPr="00007E3E">
        <w:rPr>
          <w:rFonts w:ascii="David" w:eastAsia="Calibri" w:hAnsi="David"/>
          <w:rtl/>
        </w:rPr>
        <w:t>אך ניתן לשער את הנזק האישי שנגרם להן והשפעתו על חייהן, בייחוד לאור התקופה בחייהן בה נפגעו וגילן הצעיר, וכן ישנה משמעות לנזק הכללי הנגרם לחברה כולה, והנזק התדמיתי למקצועות ההוראה, ההדרכה והאימון, שראוי שיהיו בהם גבולות ברורים, שכן בשל אופיו של התחום בו מדובר, הגבול בין מגע אינטימי-לגיטימי כחלק מאימון, לבין פגיעה מינית בניגוד לדין, הינו דק מאוד.</w:t>
      </w:r>
    </w:p>
    <w:p w:rsidR="00007E3E" w:rsidRPr="00007E3E" w:rsidRDefault="00007E3E" w:rsidP="00007E3E">
      <w:pPr>
        <w:spacing w:line="360" w:lineRule="auto"/>
        <w:jc w:val="both"/>
        <w:rPr>
          <w:rFonts w:ascii="David" w:hAnsi="David"/>
          <w:rtl/>
        </w:rPr>
      </w:pPr>
    </w:p>
    <w:p w:rsidR="00007E3E" w:rsidRPr="00007E3E" w:rsidRDefault="00007E3E" w:rsidP="00007E3E">
      <w:pPr>
        <w:spacing w:line="360" w:lineRule="auto"/>
        <w:jc w:val="both"/>
        <w:rPr>
          <w:rFonts w:ascii="David" w:eastAsia="Calibri" w:hAnsi="David"/>
          <w:b/>
          <w:bCs/>
          <w:rtl/>
        </w:rPr>
      </w:pPr>
      <w:r w:rsidRPr="00007E3E">
        <w:rPr>
          <w:rFonts w:ascii="David" w:hAnsi="David"/>
          <w:rtl/>
        </w:rPr>
        <w:t xml:space="preserve">ועוד לעניין קביעת המתחם יש להפנות להוראות המחוקק הרלוונטיות ולמסגרת העונשים הקבועה בהן לכל עבירה: באישום הראשון - ובהתאם לאמור בסעיף 348(ג) לחוק העונשין, על העושה מעשה מגונה באדם בלא הסכמתו קבוע עונש מאסר מרבי של שלוש שנים. באישום השני - לפי סעיף 347(א)(1) לחוק העונשין, על העושה מעשה סדום בקטין מעל גיל 16 במסגרת יחסי מרות קבוע עונש מאסר מרבי של 5 שנים. לפי סעיף 346(א)(1) לחוק העונשין, על הבועל קטינה שמלאו לה שש עשרה שנים וטרם מלאו לה שמונה עשרה שנים במסגרת יחסי מרות קבוע עונש מאסר מרבי של חמש שנים ובהתאם לסעיף 348 (ד)(1) לחוק העונשין - לעבירות של מעשה מגונה בקטין שמלאו לו 14 שנים תוך ניצול יחסי מרות, קבוע עונש מאסר מרבי של 4 שנים. באישום השלישי - כאמור, בהתאם לסעיף 348 (ד)(1) לחוק העונשין - לעבירות של מעשה מגונה בקטין שמלאו לו 14 שנים תוך ניצול יחסי מרות, קבוע עונש מאסר מרבי של 4 שנים וכן לפי סעיף 347(א)(1) על העושה מעשה סדום בקטין מעל גיל 16 במסגרת יחסי מרות קבוע עונש מאסר מרבי של 5 שנים. העונש המרבי המצטבר של עבירות אלה בכל אישום ואישום גבוה, וניתן כמובן לגזור דינו של נאשם בעונש מופחת מהעונש המרבי המצטבר, אך בהתאם לפסיקת </w:t>
      </w:r>
      <w:r w:rsidRPr="00007E3E">
        <w:rPr>
          <w:rFonts w:ascii="David" w:hAnsi="David"/>
          <w:rtl/>
        </w:rPr>
        <w:lastRenderedPageBreak/>
        <w:t>בית המשפט העליון, על הענישה בפועל להיות קרובה אליו.</w:t>
      </w:r>
      <w:r w:rsidRPr="00007E3E">
        <w:rPr>
          <w:rFonts w:ascii="David" w:eastAsia="Calibri" w:hAnsi="David"/>
          <w:b/>
          <w:bCs/>
          <w:rtl/>
        </w:rPr>
        <w:t xml:space="preserve"> </w:t>
      </w:r>
      <w:r w:rsidRPr="00007E3E">
        <w:rPr>
          <w:rFonts w:ascii="David" w:eastAsia="Calibri" w:hAnsi="David"/>
          <w:rtl/>
        </w:rPr>
        <w:t>בע"פ 6618/23</w:t>
      </w:r>
      <w:r w:rsidRPr="00007E3E">
        <w:rPr>
          <w:rFonts w:ascii="David" w:eastAsia="Calibri" w:hAnsi="David"/>
          <w:b/>
          <w:bCs/>
          <w:rtl/>
        </w:rPr>
        <w:t xml:space="preserve"> פלוני נ' מדינת ישראל </w:t>
      </w:r>
      <w:r w:rsidRPr="00007E3E">
        <w:rPr>
          <w:rFonts w:ascii="David" w:eastAsia="Calibri" w:hAnsi="David"/>
          <w:rtl/>
        </w:rPr>
        <w:t xml:space="preserve">(10.10.23) בפסקה 10 נקבע בהקשר לרציונל לכך: </w:t>
      </w:r>
      <w:r w:rsidRPr="00007E3E">
        <w:rPr>
          <w:rFonts w:ascii="David" w:eastAsia="Calibri" w:hAnsi="David"/>
          <w:b/>
          <w:bCs/>
          <w:rtl/>
        </w:rPr>
        <w:t xml:space="preserve">"תכליתם של עונשי המקסימום אינה מתמצית בהגדרת הגבול העליון של סמכות הענישה, אלא יש בה כדי לבטא את עמדתו הערכית של המחוקק". </w:t>
      </w:r>
    </w:p>
    <w:p w:rsidR="00007E3E" w:rsidRPr="00007E3E" w:rsidRDefault="00007E3E" w:rsidP="00007E3E">
      <w:pPr>
        <w:widowControl w:val="0"/>
        <w:spacing w:before="240" w:line="360" w:lineRule="auto"/>
        <w:jc w:val="both"/>
        <w:rPr>
          <w:rFonts w:ascii="David" w:eastAsia="Calibri" w:hAnsi="David"/>
          <w:rtl/>
        </w:rPr>
      </w:pPr>
      <w:r w:rsidRPr="00007E3E">
        <w:rPr>
          <w:rFonts w:ascii="David" w:hAnsi="David"/>
          <w:rtl/>
        </w:rPr>
        <w:t xml:space="preserve"> על היחס בין עונשי המקסימום ואופן גזירת עונשו של נאשם ראו ע"פ 6590/17 </w:t>
      </w:r>
      <w:r w:rsidRPr="00007E3E">
        <w:rPr>
          <w:rFonts w:ascii="David" w:hAnsi="David"/>
          <w:b/>
          <w:bCs/>
          <w:rtl/>
        </w:rPr>
        <w:t>פלוני נ' מדינת ישראל</w:t>
      </w:r>
      <w:r w:rsidRPr="00007E3E">
        <w:rPr>
          <w:rFonts w:ascii="David" w:hAnsi="David"/>
          <w:rtl/>
        </w:rPr>
        <w:t xml:space="preserve"> (פסקה 10 לפסק דינו של כב' הש' שטיין) (11.11.18): </w:t>
      </w:r>
      <w:r w:rsidRPr="00007E3E">
        <w:rPr>
          <w:rFonts w:ascii="David" w:hAnsi="David"/>
          <w:b/>
          <w:bCs/>
          <w:rtl/>
        </w:rPr>
        <w:t xml:space="preserve">"בבואנו לגזור את עונשם של נאשמים שביצעו עבירות כאמור, עלינו לקיים את דברו של המחוקק ובמקרים מתאימים להטיל עונשים שמתקרבים לעונש המירבי". </w:t>
      </w:r>
      <w:r w:rsidRPr="00007E3E">
        <w:rPr>
          <w:rFonts w:ascii="David" w:hAnsi="David"/>
          <w:rtl/>
        </w:rPr>
        <w:t>כן ראו ע"פ</w:t>
      </w:r>
      <w:r w:rsidRPr="00007E3E">
        <w:rPr>
          <w:rFonts w:ascii="David" w:hAnsi="David"/>
          <w:b/>
          <w:bCs/>
          <w:rtl/>
        </w:rPr>
        <w:t xml:space="preserve"> </w:t>
      </w:r>
      <w:r w:rsidRPr="00007E3E">
        <w:rPr>
          <w:rFonts w:ascii="David" w:hAnsi="David"/>
          <w:rtl/>
        </w:rPr>
        <w:t xml:space="preserve">147/21 </w:t>
      </w:r>
      <w:r w:rsidRPr="00007E3E">
        <w:rPr>
          <w:rFonts w:ascii="David" w:hAnsi="David"/>
          <w:b/>
          <w:bCs/>
          <w:rtl/>
        </w:rPr>
        <w:t xml:space="preserve">מדינת ישראל נ' ביטון </w:t>
      </w:r>
      <w:r w:rsidRPr="00007E3E">
        <w:rPr>
          <w:rFonts w:ascii="David" w:hAnsi="David"/>
          <w:rtl/>
        </w:rPr>
        <w:t>(פסקה 8 לפסק דינו של כב' הש' שטיין) (14.2.21); וע"פ</w:t>
      </w:r>
      <w:r w:rsidRPr="00007E3E">
        <w:rPr>
          <w:rFonts w:ascii="David" w:hAnsi="David"/>
          <w:b/>
          <w:bCs/>
          <w:rtl/>
        </w:rPr>
        <w:t xml:space="preserve"> </w:t>
      </w:r>
      <w:r w:rsidRPr="00007E3E">
        <w:rPr>
          <w:rFonts w:ascii="David" w:hAnsi="David"/>
          <w:rtl/>
        </w:rPr>
        <w:t xml:space="preserve">2352/19 </w:t>
      </w:r>
      <w:r w:rsidRPr="00007E3E">
        <w:rPr>
          <w:rFonts w:ascii="David" w:hAnsi="David"/>
          <w:b/>
          <w:bCs/>
          <w:rtl/>
        </w:rPr>
        <w:t xml:space="preserve">אלדר דנילוב נ' מדינת ישראל </w:t>
      </w:r>
      <w:r w:rsidRPr="00007E3E">
        <w:rPr>
          <w:rFonts w:ascii="David" w:hAnsi="David"/>
          <w:rtl/>
        </w:rPr>
        <w:t>(פסקה 11 לפסק דינו של כב' הש' שטיין)</w:t>
      </w:r>
      <w:r w:rsidRPr="00007E3E">
        <w:rPr>
          <w:rFonts w:ascii="David" w:hAnsi="David"/>
          <w:b/>
          <w:bCs/>
          <w:rtl/>
        </w:rPr>
        <w:t xml:space="preserve"> </w:t>
      </w:r>
      <w:r w:rsidRPr="00007E3E">
        <w:rPr>
          <w:rFonts w:ascii="David" w:hAnsi="David"/>
          <w:rtl/>
        </w:rPr>
        <w:t xml:space="preserve">(15.10.19). </w:t>
      </w:r>
    </w:p>
    <w:p w:rsidR="00007E3E" w:rsidRPr="00007E3E" w:rsidRDefault="00007E3E" w:rsidP="00007E3E">
      <w:pPr>
        <w:spacing w:line="360" w:lineRule="auto"/>
        <w:jc w:val="both"/>
        <w:rPr>
          <w:rFonts w:ascii="David" w:eastAsia="Calibri" w:hAnsi="David"/>
          <w:rtl/>
        </w:rPr>
      </w:pPr>
    </w:p>
    <w:p w:rsidR="00007E3E" w:rsidRPr="00007E3E" w:rsidRDefault="00007E3E" w:rsidP="00007E3E">
      <w:pPr>
        <w:spacing w:line="360" w:lineRule="auto"/>
        <w:jc w:val="both"/>
        <w:rPr>
          <w:rFonts w:ascii="David" w:eastAsia="Calibri" w:hAnsi="David"/>
          <w:rtl/>
        </w:rPr>
      </w:pPr>
      <w:r w:rsidRPr="00007E3E">
        <w:rPr>
          <w:rFonts w:ascii="David" w:eastAsia="Calibri" w:hAnsi="David"/>
          <w:rtl/>
        </w:rPr>
        <w:t xml:space="preserve">עם זאת, לצד נסיבות החומרה שפורטו לעיל, יש לציין כי הנאשם לא הפעיל כוח או אלימות כאשר ביצע את המעשים המיניים החמורים במתלוננות. </w:t>
      </w:r>
    </w:p>
    <w:p w:rsidR="00007E3E" w:rsidRPr="00007E3E" w:rsidRDefault="00007E3E" w:rsidP="00007E3E">
      <w:pPr>
        <w:spacing w:line="360" w:lineRule="auto"/>
        <w:jc w:val="both"/>
        <w:rPr>
          <w:rFonts w:ascii="David" w:eastAsia="Calibri" w:hAnsi="David"/>
          <w:rtl/>
        </w:rPr>
      </w:pPr>
    </w:p>
    <w:p w:rsidR="00007E3E" w:rsidRPr="00007E3E" w:rsidRDefault="00007E3E" w:rsidP="00007E3E">
      <w:pPr>
        <w:spacing w:line="360" w:lineRule="auto"/>
        <w:jc w:val="both"/>
        <w:rPr>
          <w:rFonts w:ascii="David" w:eastAsia="Calibri" w:hAnsi="David"/>
          <w:rtl/>
        </w:rPr>
      </w:pPr>
      <w:r w:rsidRPr="00007E3E">
        <w:rPr>
          <w:rFonts w:ascii="David" w:eastAsia="Calibri" w:hAnsi="David"/>
          <w:rtl/>
        </w:rPr>
        <w:t>על מתחם הענישה ההולם לשקף את כלל השיקולים והנסיבות שפורטו כאן.</w:t>
      </w:r>
      <w:r w:rsidRPr="00007E3E">
        <w:rPr>
          <w:rFonts w:ascii="David" w:hAnsi="David"/>
          <w:rtl/>
        </w:rPr>
        <w:t xml:space="preserve"> </w:t>
      </w:r>
    </w:p>
    <w:p w:rsidR="00007E3E" w:rsidRPr="00007E3E" w:rsidRDefault="00007E3E" w:rsidP="00007E3E">
      <w:pPr>
        <w:spacing w:line="360" w:lineRule="auto"/>
        <w:jc w:val="both"/>
        <w:rPr>
          <w:rFonts w:ascii="David" w:eastAsia="Calibri" w:hAnsi="David"/>
          <w:b/>
          <w:bCs/>
          <w:u w:val="single"/>
          <w:rtl/>
        </w:rPr>
      </w:pPr>
    </w:p>
    <w:p w:rsidR="00007E3E" w:rsidRPr="00007E3E" w:rsidRDefault="00007E3E" w:rsidP="00007E3E">
      <w:pPr>
        <w:spacing w:line="360" w:lineRule="auto"/>
        <w:jc w:val="both"/>
        <w:rPr>
          <w:rFonts w:ascii="David" w:eastAsia="Calibri" w:hAnsi="David"/>
          <w:rtl/>
        </w:rPr>
      </w:pPr>
      <w:r w:rsidRPr="00007E3E">
        <w:rPr>
          <w:rFonts w:ascii="David" w:eastAsia="Calibri" w:hAnsi="David"/>
          <w:b/>
          <w:bCs/>
          <w:u w:val="single"/>
          <w:rtl/>
        </w:rPr>
        <w:t>מדיניות הענישה הנהוגה</w:t>
      </w:r>
    </w:p>
    <w:p w:rsidR="00007E3E" w:rsidRPr="00007E3E" w:rsidRDefault="00007E3E" w:rsidP="00007E3E">
      <w:pPr>
        <w:spacing w:before="120" w:after="120" w:line="360" w:lineRule="auto"/>
        <w:jc w:val="both"/>
        <w:rPr>
          <w:rFonts w:ascii="David" w:eastAsia="Calibri" w:hAnsi="David"/>
          <w:noProof/>
          <w:rtl/>
        </w:rPr>
      </w:pPr>
      <w:r w:rsidRPr="00007E3E">
        <w:rPr>
          <w:rFonts w:ascii="David" w:eastAsia="Calibri" w:hAnsi="David"/>
          <w:rtl/>
        </w:rPr>
        <w:t xml:space="preserve">הצדדים הגישו שורה של פסקי דין, כל צד בהתאם לגישתו, כאשר חלק מן הפסיקה התאימה לנסיבות בענייננו, ויוער כי קשת הפגיעות המיניות הינה רחבה, ובהתאם, על בית המשפט להפעיל שיקול דעת רחב ולהתייחס לדקויות כאלה ואחרות, והפסיקה לעולם אינה זהה ממקרה למקרה. </w:t>
      </w:r>
      <w:r w:rsidRPr="00007E3E">
        <w:rPr>
          <w:rFonts w:ascii="David" w:hAnsi="David"/>
          <w:noProof/>
          <w:rtl/>
        </w:rPr>
        <w:t xml:space="preserve">יפים לעניין זה דברים שנאמרו על ידי בית המשפט העליון במסגרת </w:t>
      </w:r>
      <w:hyperlink r:id="rId12" w:history="1">
        <w:r w:rsidRPr="00DD5A6C">
          <w:rPr>
            <w:rFonts w:ascii="David" w:hAnsi="David"/>
            <w:noProof/>
            <w:rtl/>
          </w:rPr>
          <w:t>ע"פ 6490/20</w:t>
        </w:r>
      </w:hyperlink>
      <w:r w:rsidRPr="00DD5A6C">
        <w:rPr>
          <w:rFonts w:ascii="David" w:hAnsi="David"/>
          <w:noProof/>
          <w:rtl/>
        </w:rPr>
        <w:t xml:space="preserve"> </w:t>
      </w:r>
      <w:r w:rsidRPr="00007E3E">
        <w:rPr>
          <w:rFonts w:ascii="David" w:hAnsi="David" w:hint="cs"/>
          <w:b/>
          <w:bCs/>
          <w:noProof/>
          <w:rtl/>
        </w:rPr>
        <w:t>פלוני נ' מדינת ישראל</w:t>
      </w:r>
      <w:r w:rsidRPr="00007E3E">
        <w:rPr>
          <w:rFonts w:ascii="David" w:hAnsi="David" w:hint="cs"/>
          <w:noProof/>
          <w:rtl/>
        </w:rPr>
        <w:t xml:space="preserve"> (פסקה 2 לפסק דינו של המשנה לנשיאה כב' הש' הנדל) (10.1.22):</w:t>
      </w:r>
    </w:p>
    <w:p w:rsidR="00007E3E" w:rsidRPr="00007E3E" w:rsidRDefault="00007E3E" w:rsidP="004971C7">
      <w:pPr>
        <w:spacing w:before="120" w:after="120" w:line="360" w:lineRule="auto"/>
        <w:ind w:left="567" w:right="426"/>
        <w:jc w:val="both"/>
        <w:rPr>
          <w:rFonts w:ascii="David" w:hAnsi="David"/>
          <w:b/>
          <w:bCs/>
          <w:noProof/>
          <w:rtl/>
        </w:rPr>
      </w:pPr>
      <w:r w:rsidRPr="00007E3E">
        <w:rPr>
          <w:rFonts w:ascii="David" w:hAnsi="David"/>
          <w:b/>
          <w:bCs/>
          <w:noProof/>
          <w:rtl/>
        </w:rPr>
        <w:t>"</w:t>
      </w:r>
      <w:r w:rsidR="004971C7">
        <w:rPr>
          <w:rFonts w:ascii="David" w:hAnsi="David"/>
          <w:b/>
          <w:bCs/>
          <w:noProof/>
          <w:rtl/>
        </w:rPr>
        <w:t>...</w:t>
      </w:r>
      <w:r w:rsidRPr="00007E3E">
        <w:rPr>
          <w:rFonts w:ascii="David" w:hAnsi="David"/>
          <w:b/>
          <w:bCs/>
          <w:noProof/>
          <w:rtl/>
        </w:rPr>
        <w:t xml:space="preserve"> גזירת העונש היא מלאכת מחשבת, ולא מלאכת מחשב. הרתיעה של בית המשפט, גם במובן הרגשי – לגיטימית היא. אך יש לזכור כי התגובה הרגשית אינה יכולה להיות סוף פסוק. בית המשפט מחויב לנמק את מסקנתו ואת הכרעתו לעניין העונש. הדבר דרוש כדי לצאת ידי חובת הענישה על פי עקרון ההלימה. הדרך ליישום שיקולי הענישה כראוי היא נימוק מדוע המקרה על נסיבותיו מוביל לתוצאה עונשית מסוימת ולא לתוצאה אחרת. מתפקידו של בית המשפט להציג את הנקודות הספציפיות של המקרה, ולראות היכן עומד המקרה בשורת המקרים הקרובים."</w:t>
      </w:r>
    </w:p>
    <w:p w:rsidR="00007E3E" w:rsidRPr="00007E3E" w:rsidRDefault="00007E3E" w:rsidP="00007E3E">
      <w:pPr>
        <w:spacing w:line="360" w:lineRule="auto"/>
        <w:jc w:val="both"/>
        <w:rPr>
          <w:rFonts w:ascii="David" w:hAnsi="David"/>
          <w:b/>
          <w:bCs/>
          <w:u w:val="single"/>
        </w:rPr>
      </w:pPr>
      <w:r w:rsidRPr="00007E3E">
        <w:rPr>
          <w:rFonts w:ascii="David" w:hAnsi="David"/>
          <w:b/>
          <w:bCs/>
          <w:u w:val="single"/>
          <w:rtl/>
        </w:rPr>
        <w:t>סקירת הפסיקה אליה הפנו הצדדים</w:t>
      </w:r>
    </w:p>
    <w:p w:rsidR="00007E3E" w:rsidRPr="00007E3E" w:rsidRDefault="00007E3E" w:rsidP="00007E3E">
      <w:pPr>
        <w:spacing w:line="360" w:lineRule="auto"/>
        <w:jc w:val="both"/>
        <w:rPr>
          <w:rFonts w:ascii="David" w:hAnsi="David"/>
        </w:rPr>
      </w:pPr>
      <w:r w:rsidRPr="00007E3E">
        <w:rPr>
          <w:rFonts w:ascii="David" w:hAnsi="David"/>
          <w:b/>
          <w:bCs/>
          <w:rtl/>
        </w:rPr>
        <w:t>המאשימה</w:t>
      </w:r>
      <w:r w:rsidRPr="00007E3E">
        <w:rPr>
          <w:rFonts w:ascii="David" w:hAnsi="David"/>
          <w:rtl/>
        </w:rPr>
        <w:t xml:space="preserve"> הפנתה לע"פ 8807/22 </w:t>
      </w:r>
      <w:r w:rsidRPr="00007E3E">
        <w:rPr>
          <w:rFonts w:ascii="David" w:hAnsi="David"/>
          <w:b/>
          <w:bCs/>
          <w:rtl/>
        </w:rPr>
        <w:t>פלוני נ' מדינת ישראל</w:t>
      </w:r>
      <w:r w:rsidRPr="00007E3E">
        <w:rPr>
          <w:rFonts w:ascii="David" w:hAnsi="David"/>
          <w:rtl/>
        </w:rPr>
        <w:t xml:space="preserve"> (16.07.23) בו נדון עניינו של מערער שהורשע בהסדר טיעון לאחר ניהול הוכחות במשך שנה, בריבוי עבירות של מעשה מגונה בחסרי ישע על ידי אחראי, בחמישה קטינים אותם אימן במסגרת תפקידו כמאמן כדורסל. על המערער הושתו 12 שנות </w:t>
      </w:r>
      <w:r w:rsidRPr="00007E3E">
        <w:rPr>
          <w:rFonts w:ascii="David" w:hAnsi="David"/>
          <w:rtl/>
        </w:rPr>
        <w:lastRenderedPageBreak/>
        <w:t xml:space="preserve">מאסר בפועל לצד ענישה נלווית. הערעור נסב על רכיב מסוים בהכרעת הדין לפיו אחד מהנפגעים היה מתחת לגיל 14 כאשר בוצעו בו רוב העבירות, נתון שלא הובא בחשבון, ובית המשפט העליון התערב בעונש והפחיתו והעמידו על 10.5 שנים, תוך שחידד את ההחמרה הראויה בענישה על עבירות מן הסוג בהן הורשע המערער. </w:t>
      </w:r>
    </w:p>
    <w:p w:rsidR="00007E3E" w:rsidRPr="00007E3E" w:rsidRDefault="00007E3E" w:rsidP="00007E3E">
      <w:pPr>
        <w:spacing w:line="360" w:lineRule="auto"/>
        <w:jc w:val="both"/>
        <w:rPr>
          <w:rFonts w:ascii="David" w:hAnsi="David"/>
          <w:b/>
          <w:bCs/>
          <w:u w:val="single"/>
          <w:rtl/>
        </w:rPr>
      </w:pPr>
      <w:r w:rsidRPr="00007E3E">
        <w:rPr>
          <w:rFonts w:ascii="David" w:hAnsi="David"/>
          <w:rtl/>
        </w:rPr>
        <w:t>מחד, בדומה לעניינינו גם כאן העבירות בוצעו על רקע ניצול יחסי מרות ובחלק מהמקרים ללא הסכמה חופשית, אך מאידך חומרתם של המעשים שם מצויה ברף הגבוה מענייננו שכן בוצעו בחמישה קטינים, חלקם מתחת לגיל 14.</w:t>
      </w:r>
    </w:p>
    <w:p w:rsidR="00007E3E" w:rsidRPr="00007E3E" w:rsidRDefault="00007E3E" w:rsidP="00007E3E">
      <w:pPr>
        <w:spacing w:line="360" w:lineRule="auto"/>
        <w:jc w:val="both"/>
        <w:rPr>
          <w:rFonts w:ascii="David" w:hAnsi="David"/>
          <w:rtl/>
        </w:rPr>
      </w:pPr>
    </w:p>
    <w:p w:rsidR="00007E3E" w:rsidRPr="00007E3E" w:rsidRDefault="00007E3E" w:rsidP="00007E3E">
      <w:pPr>
        <w:spacing w:line="360" w:lineRule="auto"/>
        <w:jc w:val="both"/>
        <w:rPr>
          <w:rFonts w:ascii="David" w:hAnsi="David"/>
          <w:rtl/>
        </w:rPr>
      </w:pPr>
      <w:r w:rsidRPr="00007E3E">
        <w:rPr>
          <w:rFonts w:ascii="David" w:hAnsi="David"/>
          <w:rtl/>
        </w:rPr>
        <w:t xml:space="preserve">תפ"ח (ב"ש) 1151/09 </w:t>
      </w:r>
      <w:r w:rsidRPr="00007E3E">
        <w:rPr>
          <w:rFonts w:ascii="David" w:hAnsi="David"/>
          <w:b/>
          <w:bCs/>
          <w:rtl/>
        </w:rPr>
        <w:t>מדינת ישראל נ' מנשיר מישייב</w:t>
      </w:r>
      <w:r w:rsidRPr="00007E3E">
        <w:rPr>
          <w:rFonts w:ascii="David" w:hAnsi="David"/>
          <w:rtl/>
        </w:rPr>
        <w:t xml:space="preserve"> (07.01.14) עסק בנאשם שהורשע לאחר ניהול הוכחות במעשים מגונים בקטינה שהייתה כבת 9 בשלושה מקרים, עת השתתפה בחוג היאבקות בהדרכת הנאשם. בית המשפט המחוזי גזר על הנאשם 4 שנות מאסר בפועל לצד מאסר מותנה ופיצוי כספי למתלוננת מתוך התחשבות בגילו המתקדם של הנאשם שם, בעברו הנקי ובמצבו הבריאותי.</w:t>
      </w:r>
    </w:p>
    <w:p w:rsidR="00007E3E" w:rsidRPr="00007E3E" w:rsidRDefault="00007E3E" w:rsidP="00007E3E">
      <w:pPr>
        <w:spacing w:line="360" w:lineRule="auto"/>
        <w:jc w:val="both"/>
        <w:rPr>
          <w:rFonts w:ascii="David" w:hAnsi="David"/>
          <w:rtl/>
        </w:rPr>
      </w:pPr>
      <w:r w:rsidRPr="00007E3E">
        <w:rPr>
          <w:rFonts w:ascii="David" w:hAnsi="David"/>
          <w:rtl/>
        </w:rPr>
        <w:t xml:space="preserve">דובר בנאשם שביצע את העבירות על רקע יחסי מרות כבענייננו, אך דובר בקטינה אחת, צעירה מאוד, ובעבירות פחות חמורות מבענייננו, במעשים מגונים בלבד, וכן בית המשפט לקח בחשבון לקולא את גילו המבוגר של הנאשם שם ומצבו הבריאותי הלקוי, ולכן מדובר במקרה קל בהרבה מענייננו בכל פרמטר, ריבוי המתלוננות, חומרת העבירות שהינה גבוהה בהרבה והתפרשות המעשים על פני תקופה ארוכה. </w:t>
      </w:r>
    </w:p>
    <w:p w:rsidR="00007E3E" w:rsidRPr="00007E3E" w:rsidRDefault="00007E3E" w:rsidP="00007E3E">
      <w:pPr>
        <w:spacing w:line="360" w:lineRule="auto"/>
        <w:jc w:val="both"/>
        <w:rPr>
          <w:rFonts w:ascii="David" w:hAnsi="David"/>
          <w:b/>
          <w:bCs/>
          <w:rtl/>
        </w:rPr>
      </w:pPr>
    </w:p>
    <w:p w:rsidR="00007E3E" w:rsidRPr="00007E3E" w:rsidRDefault="00007E3E" w:rsidP="00007E3E">
      <w:pPr>
        <w:spacing w:line="360" w:lineRule="auto"/>
        <w:jc w:val="both"/>
        <w:rPr>
          <w:rFonts w:ascii="David" w:hAnsi="David"/>
          <w:rtl/>
        </w:rPr>
      </w:pPr>
      <w:r w:rsidRPr="00007E3E">
        <w:rPr>
          <w:rFonts w:ascii="David" w:hAnsi="David"/>
          <w:b/>
          <w:bCs/>
          <w:rtl/>
        </w:rPr>
        <w:t>ההגנה</w:t>
      </w:r>
      <w:r w:rsidRPr="00007E3E">
        <w:rPr>
          <w:rFonts w:ascii="David" w:hAnsi="David"/>
          <w:rtl/>
        </w:rPr>
        <w:t xml:space="preserve"> הפנתה לת"פ 64377-05-23 </w:t>
      </w:r>
      <w:r w:rsidRPr="00007E3E">
        <w:rPr>
          <w:rFonts w:ascii="David" w:hAnsi="David"/>
          <w:b/>
          <w:bCs/>
          <w:rtl/>
        </w:rPr>
        <w:t>מדינת ישראל נ' בן שלוש</w:t>
      </w:r>
      <w:r w:rsidRPr="00007E3E">
        <w:rPr>
          <w:rFonts w:ascii="David" w:hAnsi="David"/>
          <w:rtl/>
        </w:rPr>
        <w:t xml:space="preserve"> (29.02.24) מבית משפט השלום בכפר סבא בו נדון עניינו של  נאשם שהורשע על יסוד הודאתו במסגרת הסדר טיעון בארבעה אישומים שעניינם ריבוי עבירות של מעשים מגונים בקטינה מעל גיל 14 ומתחת לגיל 16, תוך ניצול יחסי תלות, ריבוי עבירות של בעילה אסורה בהסכמה, ריבוי עבירות של מעשה סדום בקטינה מעל גיל 16 ועבירה של בעילה אסורה בהסכמה בקטינה מעל גיל 16 תוך ניצול יחסי תלות, מרות חינוך והשגחה. </w:t>
      </w:r>
    </w:p>
    <w:p w:rsidR="00007E3E" w:rsidRPr="00007E3E" w:rsidRDefault="00007E3E" w:rsidP="00007E3E">
      <w:pPr>
        <w:spacing w:line="360" w:lineRule="auto"/>
        <w:jc w:val="both"/>
        <w:rPr>
          <w:rFonts w:ascii="David" w:hAnsi="David"/>
          <w:rtl/>
        </w:rPr>
      </w:pPr>
      <w:r w:rsidRPr="00007E3E">
        <w:rPr>
          <w:rFonts w:ascii="David" w:hAnsi="David"/>
          <w:rtl/>
        </w:rPr>
        <w:t>הצדדים הגיעו להסדר טיעון במסגרתו הצדדים עתרו במשותף לגזור על הנאשם 4 שנות מאסר לצד פיצוי לנפגעות העבירה בסך של 200,000 ₪, פיצוי שהופקד מראש וכתנאי להסדר, ומאסר על תנאי לשיקול דעת בית המשפט.</w:t>
      </w:r>
    </w:p>
    <w:p w:rsidR="00007E3E" w:rsidRPr="00007E3E" w:rsidRDefault="00007E3E" w:rsidP="00007E3E">
      <w:pPr>
        <w:spacing w:line="360" w:lineRule="auto"/>
        <w:jc w:val="both"/>
        <w:rPr>
          <w:rFonts w:ascii="David" w:hAnsi="David"/>
          <w:rtl/>
        </w:rPr>
      </w:pPr>
      <w:r w:rsidRPr="00007E3E">
        <w:rPr>
          <w:rFonts w:ascii="David" w:hAnsi="David"/>
          <w:rtl/>
        </w:rPr>
        <w:t xml:space="preserve">נסיבות ההגעה להסדר שם וההסכמות אינן נהירות, ולכן לא ניתן להקיש ממקרה זה לענייננו. </w:t>
      </w:r>
    </w:p>
    <w:p w:rsidR="00007E3E" w:rsidRPr="00007E3E" w:rsidRDefault="00007E3E" w:rsidP="00007E3E">
      <w:pPr>
        <w:spacing w:before="120" w:after="120" w:line="360" w:lineRule="auto"/>
        <w:jc w:val="both"/>
        <w:rPr>
          <w:rFonts w:ascii="David" w:hAnsi="David"/>
          <w:b/>
          <w:bCs/>
          <w:noProof/>
          <w:rtl/>
        </w:rPr>
      </w:pPr>
      <w:r w:rsidRPr="00007E3E">
        <w:rPr>
          <w:rFonts w:ascii="David" w:hAnsi="David"/>
          <w:b/>
          <w:bCs/>
          <w:noProof/>
          <w:u w:val="single"/>
          <w:rtl/>
        </w:rPr>
        <w:t>בחרנו להביא מטעמנו פסיקה נוספת</w:t>
      </w:r>
      <w:r w:rsidRPr="00007E3E">
        <w:rPr>
          <w:rFonts w:ascii="David" w:hAnsi="David"/>
          <w:b/>
          <w:bCs/>
          <w:noProof/>
          <w:rtl/>
        </w:rPr>
        <w:t>:</w:t>
      </w:r>
    </w:p>
    <w:p w:rsidR="00007E3E" w:rsidRPr="00007E3E" w:rsidRDefault="00C27368" w:rsidP="004971C7">
      <w:pPr>
        <w:spacing w:line="360" w:lineRule="auto"/>
        <w:ind w:left="26"/>
        <w:jc w:val="both"/>
        <w:rPr>
          <w:rFonts w:ascii="David" w:hAnsi="David"/>
          <w:noProof/>
          <w:rtl/>
        </w:rPr>
      </w:pPr>
      <w:hyperlink r:id="rId13" w:history="1">
        <w:r w:rsidR="00007E3E" w:rsidRPr="00DD5A6C">
          <w:rPr>
            <w:rFonts w:ascii="David" w:hAnsi="David"/>
            <w:noProof/>
            <w:rtl/>
          </w:rPr>
          <w:t>ע"פ 7720/11</w:t>
        </w:r>
      </w:hyperlink>
      <w:r w:rsidR="00007E3E" w:rsidRPr="00007E3E">
        <w:rPr>
          <w:rFonts w:ascii="David" w:hAnsi="David"/>
          <w:noProof/>
          <w:rtl/>
        </w:rPr>
        <w:t xml:space="preserve"> </w:t>
      </w:r>
      <w:r w:rsidR="00007E3E" w:rsidRPr="00007E3E">
        <w:rPr>
          <w:rFonts w:ascii="David" w:hAnsi="David" w:hint="cs"/>
          <w:b/>
          <w:bCs/>
          <w:noProof/>
          <w:rtl/>
        </w:rPr>
        <w:t>פלוני נ' מדינת ישראל</w:t>
      </w:r>
      <w:r w:rsidR="00007E3E" w:rsidRPr="00007E3E">
        <w:rPr>
          <w:rFonts w:ascii="David" w:hAnsi="David" w:hint="cs"/>
          <w:noProof/>
          <w:rtl/>
        </w:rPr>
        <w:t xml:space="preserve"> (14.11.12) – שם נדון עניינו של מערער שהורשע על יסוד הודאתו במסגרת הסדר טיעון בעבירות מין שביצע בשתי תקופות: האחת, בעת שהיה בעלים של פיצריה וביצע בקטין בן 15 שעבד אצלו מעשים מגונים, ובתקופה השנייה, בה שימש כמאמן קבוצת כדורגל, ביצע מעשים מגונים ב-4 קטינים בגילי 15-12 שנהג לאמן במסגרת אימון פרטי. בגין מעשים אלו הורשע בביצוע מעשים מגונים בקטין מתחת לגיל 14 שנים, ביצוע מעשים מגונים בקטין מתחת לגיל 16 שנים </w:t>
      </w:r>
      <w:r w:rsidR="00007E3E" w:rsidRPr="00007E3E">
        <w:rPr>
          <w:rFonts w:ascii="David" w:hAnsi="David" w:hint="cs"/>
          <w:noProof/>
          <w:rtl/>
        </w:rPr>
        <w:lastRenderedPageBreak/>
        <w:t>שלא בהסכמתו החופשית, ביצוע מעשים מגונים בקטין מתחת לגיל 16 תוך ניצול יחסי מרות השגחה עבודה או שירות, ועשיית מעשה מגונה בפומבי בפני אדם שטרם מלאו לו 16 שנים. בית המשפט המחוזי גזר עליו 8 שנות מאסר בפועל ותשלום פיצוי כספי בסך של 40,000 ₪ למתלונן. בית המשפט העליון דחה את הערעור</w:t>
      </w:r>
      <w:r w:rsidR="00007E3E" w:rsidRPr="00007E3E">
        <w:rPr>
          <w:rFonts w:ascii="David" w:hAnsi="David"/>
          <w:noProof/>
        </w:rPr>
        <w:t xml:space="preserve"> </w:t>
      </w:r>
      <w:r w:rsidR="00007E3E" w:rsidRPr="00007E3E">
        <w:rPr>
          <w:rFonts w:ascii="David" w:hAnsi="David"/>
          <w:noProof/>
          <w:rtl/>
        </w:rPr>
        <w:t xml:space="preserve">בקבעו: </w:t>
      </w:r>
      <w:r w:rsidR="00007E3E" w:rsidRPr="00007E3E">
        <w:rPr>
          <w:rFonts w:ascii="David" w:hAnsi="David"/>
          <w:b/>
          <w:bCs/>
          <w:noProof/>
          <w:rtl/>
        </w:rPr>
        <w:t>"המערער ניצל חמישה קטינים לצורכי סיפוק תאוותו המינית תוך שהשיג בקרב חלקם שיתוף פעולה באמצעות הבטחות שווא לסיוע בעתידם בענף הכדורגל. כל זאת, רק על מנת להשיג את מבוקשו מבלי לחשוב על טובת הקטינים, שהיה, בתור מאמנם האישי של ארבעה מהם, אמון על ביטחונם ושלמותם הגופנית. במקום זאת, פעל המערער לפי צו צרכיו תוך התעלמות מוחלטת מהפגיעות הפיזיות והנפשיות שעלולים מעשיו לגרום לאותם קטינים שהסתכלו עליו בהערצה וכמי שיסייע להם בהגשמת חלומם להתקדם בענף הספורט שאותו הם כה אהבו</w:t>
      </w:r>
      <w:r w:rsidR="004971C7">
        <w:rPr>
          <w:rFonts w:ascii="David" w:hAnsi="David"/>
          <w:b/>
          <w:bCs/>
          <w:noProof/>
          <w:rtl/>
        </w:rPr>
        <w:t>...</w:t>
      </w:r>
      <w:r w:rsidR="00007E3E" w:rsidRPr="00007E3E">
        <w:rPr>
          <w:rFonts w:ascii="David" w:hAnsi="David"/>
          <w:b/>
          <w:bCs/>
          <w:noProof/>
          <w:rtl/>
        </w:rPr>
        <w:t xml:space="preserve">" </w:t>
      </w:r>
      <w:r w:rsidR="00007E3E" w:rsidRPr="00007E3E">
        <w:rPr>
          <w:rFonts w:ascii="David" w:hAnsi="David"/>
          <w:noProof/>
          <w:rtl/>
        </w:rPr>
        <w:t>(פסקה 11 לפסק דינו של כב' הש' ג'ובראן)</w:t>
      </w:r>
      <w:r w:rsidR="00007E3E" w:rsidRPr="00007E3E">
        <w:rPr>
          <w:rFonts w:ascii="David" w:hAnsi="David"/>
          <w:b/>
          <w:bCs/>
          <w:noProof/>
          <w:rtl/>
        </w:rPr>
        <w:t>.</w:t>
      </w:r>
    </w:p>
    <w:p w:rsidR="00007E3E" w:rsidRPr="00007E3E" w:rsidRDefault="00007E3E" w:rsidP="00007E3E">
      <w:pPr>
        <w:spacing w:line="360" w:lineRule="auto"/>
        <w:ind w:left="26"/>
        <w:jc w:val="both"/>
        <w:rPr>
          <w:rFonts w:ascii="David" w:hAnsi="David"/>
          <w:noProof/>
          <w:rtl/>
        </w:rPr>
      </w:pPr>
    </w:p>
    <w:p w:rsidR="00007E3E" w:rsidRPr="00007E3E" w:rsidRDefault="00007E3E" w:rsidP="00007E3E">
      <w:pPr>
        <w:spacing w:line="360" w:lineRule="auto"/>
        <w:ind w:left="26"/>
        <w:jc w:val="both"/>
        <w:rPr>
          <w:rFonts w:ascii="David" w:hAnsi="David"/>
          <w:noProof/>
        </w:rPr>
      </w:pPr>
      <w:r w:rsidRPr="00007E3E">
        <w:rPr>
          <w:rFonts w:ascii="David" w:hAnsi="David"/>
          <w:noProof/>
          <w:rtl/>
        </w:rPr>
        <w:t>במובן מסוים מדובר במקרה חמור יותר מענייננו שכן נפגעו בו חמישה קטינים, ובקורבנות שרובם צעירים יותר, אך גם כאן בהתייחס לתקופה השניה, העבירות בוצעו כלפי מספר קטינים שכל רצונם היה להצליח בענף הכדורגל והמערער ניצל זאת וביצע בהם את זממו, ובכך יש בענישה שהוטלה שם כדי לשמש אותנו בהתווית המתחם בענייננו.</w:t>
      </w:r>
    </w:p>
    <w:p w:rsidR="00007E3E" w:rsidRPr="00007E3E" w:rsidRDefault="00007E3E" w:rsidP="00007E3E">
      <w:pPr>
        <w:spacing w:line="360" w:lineRule="auto"/>
        <w:ind w:left="26"/>
        <w:jc w:val="both"/>
        <w:rPr>
          <w:rtl/>
        </w:rPr>
      </w:pPr>
    </w:p>
    <w:p w:rsidR="00007E3E" w:rsidRPr="00007E3E" w:rsidRDefault="00C27368" w:rsidP="00007E3E">
      <w:pPr>
        <w:spacing w:line="360" w:lineRule="auto"/>
        <w:ind w:left="26"/>
        <w:jc w:val="both"/>
        <w:rPr>
          <w:rFonts w:ascii="David" w:hAnsi="David"/>
          <w:noProof/>
          <w:rtl/>
        </w:rPr>
      </w:pPr>
      <w:hyperlink r:id="rId14" w:history="1">
        <w:r w:rsidR="00007E3E" w:rsidRPr="00DD5A6C">
          <w:rPr>
            <w:rFonts w:ascii="David" w:hAnsi="David"/>
            <w:noProof/>
            <w:rtl/>
          </w:rPr>
          <w:t>ע"פ 2386/16</w:t>
        </w:r>
      </w:hyperlink>
      <w:r w:rsidR="00007E3E" w:rsidRPr="00007E3E">
        <w:rPr>
          <w:rFonts w:ascii="David" w:hAnsi="David"/>
          <w:noProof/>
          <w:rtl/>
        </w:rPr>
        <w:t xml:space="preserve"> </w:t>
      </w:r>
      <w:r w:rsidR="00007E3E" w:rsidRPr="00007E3E">
        <w:rPr>
          <w:rFonts w:ascii="David" w:hAnsi="David" w:hint="cs"/>
          <w:b/>
          <w:bCs/>
          <w:noProof/>
          <w:rtl/>
        </w:rPr>
        <w:t>עמית חכים נ' מדינת ישראל</w:t>
      </w:r>
      <w:r w:rsidR="00007E3E" w:rsidRPr="00007E3E">
        <w:rPr>
          <w:rFonts w:ascii="David" w:hAnsi="David" w:hint="cs"/>
          <w:noProof/>
          <w:rtl/>
        </w:rPr>
        <w:t xml:space="preserve"> (30.05.16), המערער הורשע בבית המשפט המחוזי  בבאר שבע, על יסוד הודאתו במסגרת הסדר טיעון, בביצוע שתי עבירות של מעשה מגונה בכוח. בהסדר הוסכם כי המדינה תטען לעונש מאסר בפועל של 5.5 שנים, מאסר על תנאי, פיצוי וקנס, ואילו המערער היה חופשי בטיעוניו ובית המשפט גזר עליו 52 חודשי מאסר בפועל ופיצוי לשתי המתלוננות בסך כולל של 130,000 ₪. המערער שימש כמדריך כושר ואומנויות לחימה. הוא ביצע במתלוננת בת 16.5 מעשים מגונים, חיכך את איבר מינו באיבר מינה שלא בהסכמתה ותוך שימוש בכוח ובאמצעי לחץ, החדיר את אצבעותיו לתוך פיה, נגע בפיה באמצעות איבר מינו והגיע לסיפוק מיני על מכנסיה. כמו כן ביצע מעשים מגונים בכוח במתלוננת השנייה שהייתה בת 26 שכללו חיכוך איבר מינו באיבר מינה מספר פעמים. הערעור על גזר הדין נדחה, ובית המשפט העליון עמד על חומרת המעשים הקשים אותם ביצע המערער, תוך מתן משקל להודאתו של המערער אשר ייתרה את העדת המתלוננות, עברו הנקי של הנאשם, אופיו החיובי ושורת נסיבות אישיות ומשפחתיות, ולא התערב בעונש.</w:t>
      </w:r>
    </w:p>
    <w:p w:rsidR="00007E3E" w:rsidRPr="00007E3E" w:rsidRDefault="00007E3E" w:rsidP="00007E3E">
      <w:pPr>
        <w:spacing w:line="360" w:lineRule="auto"/>
        <w:ind w:left="26"/>
        <w:jc w:val="both"/>
        <w:rPr>
          <w:rFonts w:ascii="David" w:hAnsi="David"/>
          <w:noProof/>
          <w:rtl/>
        </w:rPr>
      </w:pPr>
    </w:p>
    <w:p w:rsidR="00007E3E" w:rsidRPr="00007E3E" w:rsidRDefault="00007E3E" w:rsidP="00007E3E">
      <w:pPr>
        <w:spacing w:line="360" w:lineRule="auto"/>
        <w:ind w:left="26"/>
        <w:jc w:val="both"/>
        <w:rPr>
          <w:rFonts w:ascii="David" w:hAnsi="David"/>
          <w:noProof/>
          <w:rtl/>
        </w:rPr>
      </w:pPr>
      <w:r w:rsidRPr="00007E3E">
        <w:rPr>
          <w:rFonts w:ascii="David" w:hAnsi="David"/>
          <w:noProof/>
          <w:rtl/>
        </w:rPr>
        <w:t xml:space="preserve">מחד גיסא, דובר על עבירות חמורות שאף לוו בהפעלת כוח, מאידך גיסא דובר על שתי מתלוננות, אחת בוגרת, ובענייננו יש שלוש מתלוננות מתוכן שתי קטינות, ומדובר בעבירות קלות יותר, של מעשה מגונה בכוח, שלא כמו בענייננו, כאשר הנאשם הורשע גם במעשי סדום כלפי שתיים מן המתלוננות. </w:t>
      </w:r>
    </w:p>
    <w:p w:rsidR="00007E3E" w:rsidRPr="00007E3E" w:rsidRDefault="00007E3E" w:rsidP="00007E3E">
      <w:pPr>
        <w:spacing w:line="360" w:lineRule="auto"/>
        <w:ind w:left="26"/>
        <w:jc w:val="both"/>
        <w:rPr>
          <w:rFonts w:ascii="David" w:hAnsi="David"/>
          <w:noProof/>
          <w:rtl/>
        </w:rPr>
      </w:pPr>
    </w:p>
    <w:p w:rsidR="00007E3E" w:rsidRPr="00007E3E" w:rsidRDefault="00007E3E" w:rsidP="00007E3E">
      <w:pPr>
        <w:spacing w:line="360" w:lineRule="auto"/>
        <w:ind w:left="26"/>
        <w:jc w:val="both"/>
        <w:rPr>
          <w:rFonts w:ascii="David" w:hAnsi="David"/>
          <w:noProof/>
          <w:rtl/>
        </w:rPr>
      </w:pPr>
      <w:r w:rsidRPr="00007E3E">
        <w:rPr>
          <w:rFonts w:ascii="David" w:hAnsi="David"/>
          <w:noProof/>
          <w:rtl/>
        </w:rPr>
        <w:t xml:space="preserve">ע"פ 2751/14 </w:t>
      </w:r>
      <w:r w:rsidRPr="00007E3E">
        <w:rPr>
          <w:rFonts w:ascii="David" w:hAnsi="David"/>
          <w:b/>
          <w:bCs/>
          <w:noProof/>
          <w:rtl/>
        </w:rPr>
        <w:t>פלוני נ' מדינת ישראל</w:t>
      </w:r>
      <w:r w:rsidRPr="00007E3E">
        <w:rPr>
          <w:rFonts w:ascii="David" w:hAnsi="David"/>
          <w:noProof/>
          <w:rtl/>
        </w:rPr>
        <w:t xml:space="preserve"> (20.9.2015) - המערער היה איש חינוך ששימש כמדריך בקייטנה וכמורה בבית ספר, ביצע במשך 3 שנים שש עבירות של מעשה מגונה בשישה תלמידים קטינים בגיל </w:t>
      </w:r>
      <w:r w:rsidRPr="00007E3E">
        <w:rPr>
          <w:rFonts w:ascii="David" w:hAnsi="David"/>
          <w:noProof/>
          <w:rtl/>
        </w:rPr>
        <w:lastRenderedPageBreak/>
        <w:t>7-14, כאשר נגע באיבר מינם ובישבנם. בית המשפט המחוזי קבע מתחם עונש הנע בין 2-4 שנים לכל אירוע. הנאשם נעדר עבר פלילי, אשר בעת חקירתו בגין אירוע אחד חשף גם את יתר המקרים, ונדון לעונש של 5 שנות מאסר. בית המשפט העליון זיכה את המערער מאחד האירועים, אולם בשל ריבוי המעשים, גילם הצעיר של נפגעי העבירה וניצול האמון, החמיר בעונשו והעמידו על 6.5 שנות מאסר.</w:t>
      </w:r>
    </w:p>
    <w:p w:rsidR="00007E3E" w:rsidRPr="00007E3E" w:rsidRDefault="00007E3E" w:rsidP="00007E3E">
      <w:pPr>
        <w:spacing w:line="360" w:lineRule="auto"/>
        <w:ind w:left="26"/>
        <w:jc w:val="both"/>
        <w:rPr>
          <w:rFonts w:ascii="David" w:hAnsi="David"/>
          <w:noProof/>
          <w:rtl/>
        </w:rPr>
      </w:pPr>
      <w:r w:rsidRPr="00007E3E">
        <w:rPr>
          <w:rFonts w:ascii="David" w:hAnsi="David"/>
          <w:noProof/>
          <w:rtl/>
        </w:rPr>
        <w:t>אמנם שם דובר בקטינים רכים מאוד בשנים ובמספר רב של מתלוננים, מאידך, דובר בביצוע מעשים מגונים בלבד שלא כבענייננו ובכל מקרה אין זה מדרכה של ערכאת הערעור למצות את העונש עם המשיבים בערכאת הערעור.</w:t>
      </w:r>
    </w:p>
    <w:p w:rsidR="00007E3E" w:rsidRPr="00007E3E" w:rsidRDefault="00007E3E" w:rsidP="00007E3E">
      <w:pPr>
        <w:spacing w:line="360" w:lineRule="auto"/>
        <w:ind w:left="26"/>
        <w:jc w:val="both"/>
        <w:rPr>
          <w:rFonts w:ascii="David" w:hAnsi="David"/>
          <w:b/>
          <w:bCs/>
          <w:noProof/>
          <w:rtl/>
        </w:rPr>
      </w:pPr>
    </w:p>
    <w:p w:rsidR="00007E3E" w:rsidRPr="00007E3E" w:rsidRDefault="00007E3E" w:rsidP="00007E3E">
      <w:pPr>
        <w:spacing w:line="360" w:lineRule="auto"/>
        <w:ind w:left="26"/>
        <w:jc w:val="both"/>
        <w:rPr>
          <w:rFonts w:ascii="David" w:hAnsi="David"/>
          <w:b/>
          <w:bCs/>
          <w:noProof/>
          <w:rtl/>
        </w:rPr>
      </w:pPr>
      <w:r w:rsidRPr="00007E3E">
        <w:rPr>
          <w:rFonts w:ascii="David" w:hAnsi="David"/>
          <w:b/>
          <w:bCs/>
          <w:noProof/>
          <w:rtl/>
        </w:rPr>
        <w:t>נוכח האמור, לאחר ששקלנו את נסיבות המקרה שבפנינו, בהתחשב בערכים החברתיים שנפגעו, במידת הפגיעה בהם, בנסיבות ביצוע העבירות, במידת אשמו של הנאשם ובמדיניות הענישה הנהוגה, מצאנו כי יש לקבוע את מתחם הענישה ההולם על מנעד שבין 5-9 שנות מאסר בפועל.</w:t>
      </w:r>
    </w:p>
    <w:p w:rsidR="00007E3E" w:rsidRPr="00007E3E" w:rsidRDefault="00007E3E" w:rsidP="00007E3E">
      <w:pPr>
        <w:spacing w:line="360" w:lineRule="auto"/>
        <w:ind w:left="26"/>
        <w:rPr>
          <w:rFonts w:ascii="David" w:hAnsi="David"/>
          <w:b/>
          <w:bCs/>
          <w:noProof/>
          <w:u w:val="single"/>
          <w:rtl/>
        </w:rPr>
      </w:pPr>
    </w:p>
    <w:p w:rsidR="00007E3E" w:rsidRPr="00007E3E" w:rsidRDefault="00007E3E" w:rsidP="00007E3E">
      <w:pPr>
        <w:spacing w:line="360" w:lineRule="auto"/>
        <w:ind w:left="26"/>
        <w:rPr>
          <w:rFonts w:ascii="David" w:hAnsi="David"/>
          <w:b/>
          <w:bCs/>
          <w:noProof/>
          <w:u w:val="single"/>
          <w:rtl/>
        </w:rPr>
      </w:pPr>
      <w:r w:rsidRPr="00007E3E">
        <w:rPr>
          <w:rFonts w:ascii="David" w:hAnsi="David"/>
          <w:b/>
          <w:bCs/>
          <w:noProof/>
          <w:u w:val="single"/>
          <w:rtl/>
        </w:rPr>
        <w:t>גזירת העונש</w:t>
      </w:r>
    </w:p>
    <w:p w:rsidR="00007E3E" w:rsidRPr="00007E3E" w:rsidRDefault="00007E3E" w:rsidP="00007E3E">
      <w:pPr>
        <w:spacing w:line="360" w:lineRule="auto"/>
        <w:jc w:val="both"/>
        <w:rPr>
          <w:rFonts w:ascii="David" w:hAnsi="David"/>
          <w:b/>
          <w:bCs/>
          <w:rtl/>
        </w:rPr>
      </w:pPr>
      <w:r w:rsidRPr="00007E3E">
        <w:rPr>
          <w:rFonts w:ascii="David" w:hAnsi="David"/>
          <w:b/>
          <w:bCs/>
          <w:rtl/>
        </w:rPr>
        <w:t>כאמור הצדדים הגיעו להסדר במסגרתו הודה הנאשם בכתב אישום מתוקן והמאשימה הגבילה עצמה לעתירה של 7 שנות מאסר בפועל כאשר ההגנה הייתה חופשיה בטיעוניה.</w:t>
      </w:r>
    </w:p>
    <w:p w:rsidR="00007E3E" w:rsidRPr="00007E3E" w:rsidRDefault="00007E3E" w:rsidP="00007E3E">
      <w:pPr>
        <w:spacing w:line="360" w:lineRule="auto"/>
        <w:jc w:val="both"/>
        <w:rPr>
          <w:rFonts w:ascii="David" w:eastAsia="Calibri" w:hAnsi="David"/>
          <w:rtl/>
        </w:rPr>
      </w:pPr>
    </w:p>
    <w:p w:rsidR="00007E3E" w:rsidRPr="00007E3E" w:rsidRDefault="00007E3E" w:rsidP="00007E3E">
      <w:pPr>
        <w:spacing w:line="360" w:lineRule="auto"/>
        <w:jc w:val="both"/>
        <w:rPr>
          <w:rFonts w:ascii="David" w:eastAsia="Calibri" w:hAnsi="David"/>
          <w:rtl/>
        </w:rPr>
      </w:pPr>
      <w:r w:rsidRPr="00007E3E">
        <w:rPr>
          <w:rFonts w:ascii="David" w:eastAsia="Calibri" w:hAnsi="David"/>
          <w:rtl/>
        </w:rPr>
        <w:t>בבואנו לגזור את עונשו של הנאשם בתוך המתחם, רשאי בית המשפט להתחשב גם בנסיבות שאינן קשורות בביצוע העבירה, כלשונו של סעיף 40יא לחוק העונשין, ובמידה שבה התקיימו, ככל שסבר כי ראוי לתת להן משקל בנסיבות המקרה, ובלבד שהעונש לא יחרוג ממתחם העונש ההולם, ביניהן בפגיעת העונש בנאשם ובמשפחתו, בנזקים שנגרמו לו, בנטילת האחריות על המעשים, שיתוף פעולה, נסיבות חיים קשות שהיו להן השפעה על ביצוע העבירה, חלוף הזמן מאז בוצעו העבירות וכן בהעדרו של עבר פלילי.</w:t>
      </w:r>
    </w:p>
    <w:p w:rsidR="00007E3E" w:rsidRPr="00007E3E" w:rsidRDefault="00007E3E" w:rsidP="00007E3E">
      <w:pPr>
        <w:spacing w:line="360" w:lineRule="auto"/>
        <w:jc w:val="both"/>
        <w:rPr>
          <w:rFonts w:ascii="David" w:hAnsi="David"/>
          <w:rtl/>
        </w:rPr>
      </w:pPr>
    </w:p>
    <w:p w:rsidR="00007E3E" w:rsidRPr="00007E3E" w:rsidRDefault="00007E3E" w:rsidP="00007E3E">
      <w:pPr>
        <w:spacing w:line="360" w:lineRule="auto"/>
        <w:jc w:val="both"/>
        <w:rPr>
          <w:rFonts w:ascii="David" w:eastAsia="Calibri" w:hAnsi="David"/>
          <w:rtl/>
        </w:rPr>
      </w:pPr>
      <w:r w:rsidRPr="00007E3E">
        <w:rPr>
          <w:rFonts w:ascii="David" w:hAnsi="David"/>
          <w:rtl/>
        </w:rPr>
        <w:t xml:space="preserve">כאמור לעיל, מסוכנותו של הנאשם הוערכה כבינונית נמוכה, אך על אף האמור, המסקנות העולות מהערכת המסוכנות בעייתיות ומורכבות ואף להן השפעה על העונש. </w:t>
      </w:r>
      <w:r w:rsidR="004971C7">
        <w:rPr>
          <w:rFonts w:ascii="David" w:hAnsi="David" w:hint="cs"/>
          <w:rtl/>
        </w:rPr>
        <w:t xml:space="preserve">(...) </w:t>
      </w:r>
      <w:r w:rsidRPr="00007E3E">
        <w:rPr>
          <w:rFonts w:ascii="David" w:hAnsi="David"/>
          <w:rtl/>
        </w:rPr>
        <w:t xml:space="preserve">הנאשם בעל קווי אישיות נרקיסיסטיים, מתקשה לגלות אמפתיה כלפי הנפגעות, רואה עצמו כקורבן האמיתי בסיפור ומתקשה להפנים את גודל הפגיעה במתלוננות ואף לעיתים מייחס לנפגעות יוזמה בקיום היחסים אותם ראה כיחסים שוויוניים ורצוניים. הנאשם אמנם הביע צער וחרטה אך התמקד במחירים האישיים אותם משלמים הוא ובני משפחתו, ואף בהבעת רצונו להשתלב בטיפול ייעודי היה מניע חיצוני. </w:t>
      </w:r>
    </w:p>
    <w:p w:rsidR="00007E3E" w:rsidRPr="00007E3E" w:rsidRDefault="00007E3E" w:rsidP="00007E3E">
      <w:pPr>
        <w:spacing w:line="360" w:lineRule="auto"/>
        <w:jc w:val="both"/>
        <w:rPr>
          <w:rFonts w:ascii="David" w:eastAsia="Calibri" w:hAnsi="David"/>
          <w:rtl/>
        </w:rPr>
      </w:pPr>
    </w:p>
    <w:p w:rsidR="00007E3E" w:rsidRPr="00007E3E" w:rsidRDefault="00007E3E" w:rsidP="00007E3E">
      <w:pPr>
        <w:spacing w:line="360" w:lineRule="auto"/>
        <w:jc w:val="both"/>
        <w:rPr>
          <w:rFonts w:ascii="David" w:eastAsia="Calibri" w:hAnsi="David"/>
          <w:rtl/>
        </w:rPr>
      </w:pPr>
      <w:r w:rsidRPr="00007E3E">
        <w:rPr>
          <w:rFonts w:ascii="David" w:eastAsia="Calibri" w:hAnsi="David"/>
          <w:rtl/>
        </w:rPr>
        <w:t xml:space="preserve">מדובר בנאשם בעל משפחה, שהעידו עליו כי פעל רבות למען תלמידיו ועמיתיו, נאשם שנפגע קשות ממעשיו מאחר ולא יוכל לשוב לעסוק במקצוע ממנו התפרנס. אות הקין על מצחו משמעותי, לא ימוש, ומהווה ענישה בפני עצמה. הנאשם הינו אב לשלושה קטינים, הוא הביע חרטה על מעשיו, דבר שייזקף לזכותו. </w:t>
      </w:r>
    </w:p>
    <w:p w:rsidR="00007E3E" w:rsidRPr="00007E3E" w:rsidRDefault="00007E3E" w:rsidP="00007E3E">
      <w:pPr>
        <w:spacing w:line="360" w:lineRule="auto"/>
        <w:jc w:val="both"/>
        <w:rPr>
          <w:rFonts w:ascii="David" w:eastAsia="Calibri" w:hAnsi="David"/>
          <w:rtl/>
        </w:rPr>
      </w:pPr>
    </w:p>
    <w:p w:rsidR="00007E3E" w:rsidRPr="00007E3E" w:rsidRDefault="00007E3E" w:rsidP="00007E3E">
      <w:pPr>
        <w:spacing w:line="360" w:lineRule="auto"/>
        <w:jc w:val="both"/>
        <w:rPr>
          <w:rFonts w:ascii="David" w:eastAsia="Calibri" w:hAnsi="David"/>
          <w:rtl/>
        </w:rPr>
      </w:pPr>
      <w:r w:rsidRPr="00007E3E">
        <w:rPr>
          <w:rFonts w:ascii="David" w:eastAsia="Calibri" w:hAnsi="David"/>
          <w:rtl/>
        </w:rPr>
        <w:t>מדובר בנאשם נעדר עבר פלילי, שהודה במיוחס לו בכתב האישום המתוקן, גם אם היה זה לאחר שניהל הוכחות באופן חלקי, וגם נתון זה ייחשב לזכותו. הוא בן מסור לאמו, ועדי ההגנה שהביא היללו ושיבחו אותו על הצלחתו בתחום הקרקס ועל עזרתו לתלמידיו ועמיתיו, כפי שניתן היה להיווכח מן הראיות הרבות שהגישה ההגנה לעניין העונש. אין ספק שמבחינה מקצועית הנאשם התרסק בעטיים של מעשיו.</w:t>
      </w:r>
    </w:p>
    <w:p w:rsidR="00007E3E" w:rsidRPr="00007E3E" w:rsidRDefault="00007E3E" w:rsidP="00007E3E">
      <w:pPr>
        <w:spacing w:line="360" w:lineRule="auto"/>
        <w:jc w:val="both"/>
        <w:rPr>
          <w:rFonts w:ascii="David" w:eastAsia="Calibri" w:hAnsi="David"/>
          <w:b/>
          <w:bCs/>
          <w:rtl/>
        </w:rPr>
      </w:pPr>
    </w:p>
    <w:p w:rsidR="00007E3E" w:rsidRPr="00007E3E" w:rsidRDefault="00007E3E" w:rsidP="00007E3E">
      <w:pPr>
        <w:spacing w:line="360" w:lineRule="auto"/>
        <w:jc w:val="both"/>
        <w:rPr>
          <w:rFonts w:ascii="David" w:eastAsia="Calibri" w:hAnsi="David"/>
          <w:rtl/>
        </w:rPr>
      </w:pPr>
      <w:r w:rsidRPr="00007E3E">
        <w:rPr>
          <w:rFonts w:ascii="David" w:eastAsia="Calibri" w:hAnsi="David"/>
          <w:b/>
          <w:bCs/>
          <w:rtl/>
        </w:rPr>
        <w:t xml:space="preserve">שקלול כלל המעשים, והתחשבות במגוון הנסיבות והשיקולים המתחייבים מכללי הבניית שיקול הדעת השיפוטי בענישה המפורטים בתיקון 113 לחוק העונשין ושפורטו כאן באריכות, מלמד כי ראוי לגזור את עונשו של הנאשם בחלקו הנמוך של מתחם הענישה אך לא בתחתיתו, קרוב לעונש לו עתרה המאשימה, בנוסף לעונשים נלווים.  </w:t>
      </w:r>
    </w:p>
    <w:p w:rsidR="00007E3E" w:rsidRPr="00007E3E" w:rsidRDefault="00007E3E" w:rsidP="00007E3E">
      <w:pPr>
        <w:spacing w:line="360" w:lineRule="auto"/>
        <w:jc w:val="both"/>
        <w:rPr>
          <w:rFonts w:ascii="David" w:eastAsia="Calibri" w:hAnsi="David"/>
          <w:b/>
          <w:bCs/>
          <w:u w:val="single"/>
          <w:rtl/>
        </w:rPr>
      </w:pPr>
    </w:p>
    <w:p w:rsidR="00007E3E" w:rsidRPr="00007E3E" w:rsidRDefault="00007E3E" w:rsidP="00007E3E">
      <w:pPr>
        <w:spacing w:line="360" w:lineRule="auto"/>
        <w:jc w:val="both"/>
        <w:rPr>
          <w:rFonts w:ascii="David" w:eastAsia="Calibri" w:hAnsi="David"/>
          <w:b/>
          <w:bCs/>
          <w:u w:val="single"/>
          <w:rtl/>
        </w:rPr>
      </w:pPr>
      <w:r w:rsidRPr="00007E3E">
        <w:rPr>
          <w:rFonts w:ascii="David" w:eastAsia="Calibri" w:hAnsi="David"/>
          <w:b/>
          <w:bCs/>
          <w:u w:val="single"/>
          <w:rtl/>
        </w:rPr>
        <w:t>סוף דבר</w:t>
      </w:r>
    </w:p>
    <w:p w:rsidR="00007E3E" w:rsidRPr="00007E3E" w:rsidRDefault="00007E3E" w:rsidP="00007E3E">
      <w:pPr>
        <w:spacing w:line="360" w:lineRule="auto"/>
        <w:jc w:val="both"/>
        <w:rPr>
          <w:rFonts w:ascii="David" w:eastAsia="Calibri" w:hAnsi="David"/>
          <w:rtl/>
        </w:rPr>
      </w:pPr>
      <w:r w:rsidRPr="00007E3E">
        <w:rPr>
          <w:rFonts w:ascii="David" w:eastAsia="Calibri" w:hAnsi="David"/>
          <w:rtl/>
        </w:rPr>
        <w:t>נוכח כל האמור ולאחר ששקלנו את מכלול הנסיבות, ואת השיקולים לקולא ולחומרא שפורטו לעיל, ואת ההבדלים בין חומרת העבירות בהן הורשע באישומים השונים, מצאנו לגזור על הנאשם את העונשים הבאים:</w:t>
      </w:r>
    </w:p>
    <w:p w:rsidR="00007E3E" w:rsidRPr="00007E3E" w:rsidRDefault="00007E3E" w:rsidP="00007E3E">
      <w:pPr>
        <w:numPr>
          <w:ilvl w:val="0"/>
          <w:numId w:val="3"/>
        </w:numPr>
        <w:spacing w:after="160" w:line="360" w:lineRule="auto"/>
        <w:jc w:val="both"/>
        <w:rPr>
          <w:rFonts w:ascii="David" w:eastAsia="Calibri" w:hAnsi="David"/>
          <w:rtl/>
        </w:rPr>
      </w:pPr>
      <w:r w:rsidRPr="00007E3E">
        <w:rPr>
          <w:rFonts w:ascii="David" w:eastAsia="Calibri" w:hAnsi="David"/>
          <w:rtl/>
        </w:rPr>
        <w:t xml:space="preserve">6 שנות מאסר לריצוי בפועל בניכוי ימי מעצרו מיום 2.4.22 – 23.11.22. </w:t>
      </w:r>
    </w:p>
    <w:p w:rsidR="00007E3E" w:rsidRPr="00007E3E" w:rsidRDefault="00007E3E" w:rsidP="00007E3E">
      <w:pPr>
        <w:numPr>
          <w:ilvl w:val="0"/>
          <w:numId w:val="3"/>
        </w:numPr>
        <w:spacing w:after="160" w:line="360" w:lineRule="auto"/>
        <w:jc w:val="both"/>
        <w:rPr>
          <w:rFonts w:ascii="David" w:eastAsia="Calibri" w:hAnsi="David"/>
          <w:rtl/>
        </w:rPr>
      </w:pPr>
      <w:r w:rsidRPr="00007E3E">
        <w:rPr>
          <w:rFonts w:ascii="David" w:eastAsia="Calibri" w:hAnsi="David"/>
          <w:rtl/>
        </w:rPr>
        <w:t xml:space="preserve">12 חדשי מאסר על תנאי, למשך 3 שנים מיום שחרורו ממאסר, והתנאי הוא שלא יעבור במהלך תקופה זו עבירת מין או אלימות מסוג פשע. </w:t>
      </w:r>
    </w:p>
    <w:p w:rsidR="00007E3E" w:rsidRPr="00007E3E" w:rsidRDefault="00007E3E" w:rsidP="00007E3E">
      <w:pPr>
        <w:numPr>
          <w:ilvl w:val="0"/>
          <w:numId w:val="3"/>
        </w:numPr>
        <w:spacing w:after="160" w:line="360" w:lineRule="auto"/>
        <w:jc w:val="both"/>
        <w:rPr>
          <w:rFonts w:ascii="David" w:eastAsia="Calibri" w:hAnsi="David"/>
        </w:rPr>
      </w:pPr>
      <w:r w:rsidRPr="00007E3E">
        <w:rPr>
          <w:rFonts w:ascii="David" w:eastAsia="Calibri" w:hAnsi="David"/>
          <w:rtl/>
        </w:rPr>
        <w:t>6 חודשי מאסר על תנאי, למשך 3 שנים מיום שחרורו ממאסר, והתנאי הוא שלא יעבור במהלך תקופה זו עבירת מין או אלימות מסוג עוון.</w:t>
      </w:r>
    </w:p>
    <w:p w:rsidR="00007E3E" w:rsidRPr="00007E3E" w:rsidRDefault="00007E3E" w:rsidP="00007E3E">
      <w:pPr>
        <w:numPr>
          <w:ilvl w:val="0"/>
          <w:numId w:val="3"/>
        </w:numPr>
        <w:spacing w:after="160" w:line="360" w:lineRule="auto"/>
        <w:jc w:val="both"/>
        <w:rPr>
          <w:rFonts w:ascii="David" w:eastAsia="Calibri" w:hAnsi="David"/>
          <w:b/>
          <w:bCs/>
        </w:rPr>
      </w:pPr>
      <w:r w:rsidRPr="00007E3E">
        <w:rPr>
          <w:rFonts w:ascii="David" w:eastAsia="Calibri" w:hAnsi="David"/>
          <w:rtl/>
        </w:rPr>
        <w:t xml:space="preserve">פיצוי למתלוננת באישום הראשון על סך 20,000 ₪, פיצוי למתלוננות באישום השני והשלישי על סך 60,000 ₪ לכל אחת מהן. </w:t>
      </w:r>
    </w:p>
    <w:p w:rsidR="00007E3E" w:rsidRPr="00007E3E" w:rsidRDefault="00007E3E" w:rsidP="00007E3E">
      <w:pPr>
        <w:spacing w:line="360" w:lineRule="auto"/>
        <w:jc w:val="both"/>
        <w:rPr>
          <w:rFonts w:ascii="David" w:hAnsi="David"/>
          <w:b/>
          <w:bCs/>
          <w:rtl/>
        </w:rPr>
      </w:pPr>
      <w:r w:rsidRPr="00007E3E">
        <w:rPr>
          <w:rFonts w:ascii="David" w:eastAsia="Calibri" w:hAnsi="David"/>
          <w:b/>
          <w:bCs/>
          <w:rtl/>
        </w:rPr>
        <w:t>זכות ערעור לבית המשפט העליון בתוך 45 יום.</w:t>
      </w:r>
    </w:p>
    <w:p w:rsidR="00007E3E" w:rsidRDefault="00007E3E" w:rsidP="001A22EB">
      <w:pPr>
        <w:spacing w:line="360" w:lineRule="auto"/>
        <w:jc w:val="both"/>
        <w:rPr>
          <w:rFonts w:ascii="Arial" w:hAnsi="Arial"/>
          <w:b/>
          <w:bCs/>
          <w:sz w:val="26"/>
          <w:szCs w:val="26"/>
          <w:rtl/>
        </w:rPr>
      </w:pPr>
      <w:r w:rsidRPr="00007E3E">
        <w:rPr>
          <w:rFonts w:ascii="Arial" w:hAnsi="Arial"/>
          <w:b/>
          <w:bCs/>
          <w:sz w:val="26"/>
          <w:szCs w:val="26"/>
          <w:rtl/>
        </w:rPr>
        <w:t xml:space="preserve">ניתן היום,  </w:t>
      </w:r>
      <w:sdt>
        <w:sdtPr>
          <w:rPr>
            <w:rFonts w:ascii="Arial" w:hAnsi="Arial"/>
            <w:b/>
            <w:bCs/>
            <w:sz w:val="26"/>
            <w:szCs w:val="26"/>
            <w:rtl/>
          </w:rPr>
          <w:alias w:val="1455"/>
          <w:tag w:val="1455"/>
          <w:id w:val="1689336683"/>
          <w:text w:multiLine="1"/>
        </w:sdtPr>
        <w:sdtEndPr/>
        <w:sdtContent>
          <w:r w:rsidR="001A22EB">
            <w:rPr>
              <w:rFonts w:ascii="Arial" w:hAnsi="Arial"/>
              <w:b/>
              <w:bCs/>
              <w:sz w:val="26"/>
              <w:szCs w:val="26"/>
              <w:rtl/>
            </w:rPr>
            <w:t>כ</w:t>
          </w:r>
          <w:r w:rsidR="002A6ED9">
            <w:rPr>
              <w:rFonts w:ascii="Arial" w:hAnsi="Arial" w:hint="cs"/>
              <w:b/>
              <w:bCs/>
              <w:sz w:val="26"/>
              <w:szCs w:val="26"/>
              <w:rtl/>
            </w:rPr>
            <w:t>'</w:t>
          </w:r>
          <w:r>
            <w:rPr>
              <w:rFonts w:ascii="Arial" w:hAnsi="Arial"/>
              <w:b/>
              <w:bCs/>
              <w:sz w:val="26"/>
              <w:szCs w:val="26"/>
              <w:rtl/>
            </w:rPr>
            <w:t xml:space="preserve"> אייר תשפ"ד</w:t>
          </w:r>
        </w:sdtContent>
      </w:sdt>
      <w:r w:rsidRPr="00007E3E">
        <w:rPr>
          <w:rFonts w:ascii="Arial" w:hAnsi="Arial"/>
          <w:b/>
          <w:bCs/>
          <w:sz w:val="26"/>
          <w:szCs w:val="26"/>
          <w:rtl/>
        </w:rPr>
        <w:t xml:space="preserve">, </w:t>
      </w:r>
      <w:sdt>
        <w:sdtPr>
          <w:rPr>
            <w:rFonts w:ascii="Arial" w:hAnsi="Arial"/>
            <w:b/>
            <w:bCs/>
            <w:sz w:val="26"/>
            <w:szCs w:val="26"/>
            <w:rtl/>
          </w:rPr>
          <w:alias w:val="1456"/>
          <w:tag w:val="1456"/>
          <w:id w:val="-588001881"/>
          <w:text w:multiLine="1"/>
        </w:sdtPr>
        <w:sdtEndPr/>
        <w:sdtContent>
          <w:r w:rsidR="00C96BAC">
            <w:rPr>
              <w:rFonts w:ascii="Arial" w:hAnsi="Arial" w:hint="cs"/>
              <w:b/>
              <w:bCs/>
              <w:sz w:val="26"/>
              <w:szCs w:val="26"/>
              <w:rtl/>
            </w:rPr>
            <w:t>28</w:t>
          </w:r>
          <w:r>
            <w:rPr>
              <w:rFonts w:ascii="Arial" w:hAnsi="Arial"/>
              <w:b/>
              <w:bCs/>
              <w:sz w:val="26"/>
              <w:szCs w:val="26"/>
              <w:rtl/>
            </w:rPr>
            <w:t xml:space="preserve"> מאי 2024</w:t>
          </w:r>
        </w:sdtContent>
      </w:sdt>
      <w:r w:rsidRPr="00007E3E">
        <w:rPr>
          <w:rFonts w:ascii="Arial" w:hAnsi="Arial"/>
          <w:b/>
          <w:bCs/>
          <w:sz w:val="26"/>
          <w:szCs w:val="26"/>
          <w:rtl/>
        </w:rPr>
        <w:t>, במעמד הצדדים.</w:t>
      </w:r>
    </w:p>
    <w:p w:rsidR="00A66841" w:rsidRPr="00007E3E" w:rsidRDefault="00A66841" w:rsidP="00007E3E">
      <w:pPr>
        <w:spacing w:line="360" w:lineRule="auto"/>
        <w:jc w:val="both"/>
        <w:rPr>
          <w:rFonts w:ascii="Arial" w:hAnsi="Arial"/>
          <w:b/>
          <w:bCs/>
          <w:sz w:val="26"/>
          <w:szCs w:val="26"/>
          <w:rtl/>
        </w:rPr>
      </w:pPr>
    </w:p>
    <w:tbl>
      <w:tblPr>
        <w:tblStyle w:val="10"/>
        <w:bidiVisual/>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61"/>
        <w:gridCol w:w="284"/>
        <w:gridCol w:w="2265"/>
        <w:gridCol w:w="286"/>
        <w:gridCol w:w="2578"/>
      </w:tblGrid>
      <w:tr w:rsidR="00007E3E" w:rsidRPr="00007E3E" w:rsidTr="00007E3E">
        <w:tc>
          <w:tcPr>
            <w:tcW w:w="2461" w:type="dxa"/>
            <w:tcBorders>
              <w:top w:val="nil"/>
              <w:left w:val="nil"/>
              <w:bottom w:val="single" w:sz="4" w:space="0" w:color="auto"/>
              <w:right w:val="nil"/>
            </w:tcBorders>
            <w:vAlign w:val="center"/>
            <w:hideMark/>
          </w:tcPr>
          <w:p w:rsidR="00007E3E" w:rsidRPr="00007E3E" w:rsidRDefault="00007E3E" w:rsidP="00007E3E">
            <w:pPr>
              <w:jc w:val="center"/>
              <w:rPr>
                <w:rFonts w:ascii="Courier New" w:hAnsi="Courier New"/>
                <w:b/>
                <w:bCs/>
                <w:rtl/>
              </w:rPr>
            </w:pPr>
            <w:r w:rsidRPr="00007E3E">
              <w:rPr>
                <w:noProof/>
              </w:rPr>
              <w:drawing>
                <wp:inline distT="0" distB="0" distL="0" distR="0" wp14:anchorId="42572443" wp14:editId="68F536BA">
                  <wp:extent cx="1247775" cy="647700"/>
                  <wp:effectExtent l="0" t="0" r="9525" b="0"/>
                  <wp:docPr id="13" name="תמונה 4" descr="013017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descr="01301788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47775" cy="647700"/>
                          </a:xfrm>
                          <a:prstGeom prst="rect">
                            <a:avLst/>
                          </a:prstGeom>
                          <a:noFill/>
                          <a:ln>
                            <a:noFill/>
                          </a:ln>
                        </pic:spPr>
                      </pic:pic>
                    </a:graphicData>
                  </a:graphic>
                </wp:inline>
              </w:drawing>
            </w:r>
          </w:p>
        </w:tc>
        <w:tc>
          <w:tcPr>
            <w:tcW w:w="284" w:type="dxa"/>
            <w:vAlign w:val="center"/>
          </w:tcPr>
          <w:p w:rsidR="00007E3E" w:rsidRPr="00007E3E" w:rsidRDefault="00007E3E" w:rsidP="00007E3E">
            <w:pPr>
              <w:jc w:val="center"/>
              <w:rPr>
                <w:rFonts w:ascii="Courier New" w:hAnsi="Courier New"/>
                <w:b/>
                <w:bCs/>
                <w:rtl/>
              </w:rPr>
            </w:pPr>
          </w:p>
        </w:tc>
        <w:tc>
          <w:tcPr>
            <w:tcW w:w="2265" w:type="dxa"/>
            <w:tcBorders>
              <w:top w:val="nil"/>
              <w:left w:val="nil"/>
              <w:bottom w:val="single" w:sz="4" w:space="0" w:color="auto"/>
              <w:right w:val="nil"/>
            </w:tcBorders>
            <w:vAlign w:val="center"/>
            <w:hideMark/>
          </w:tcPr>
          <w:p w:rsidR="00007E3E" w:rsidRPr="00007E3E" w:rsidRDefault="00007E3E" w:rsidP="00007E3E">
            <w:pPr>
              <w:jc w:val="center"/>
              <w:rPr>
                <w:rFonts w:ascii="Courier New" w:hAnsi="Courier New" w:cs="Times New Roman"/>
                <w:b/>
                <w:bCs/>
                <w:rtl/>
              </w:rPr>
            </w:pPr>
            <w:r w:rsidRPr="00007E3E">
              <w:rPr>
                <w:noProof/>
              </w:rPr>
              <w:drawing>
                <wp:inline distT="0" distB="0" distL="0" distR="0" wp14:anchorId="2416EE84" wp14:editId="7F008B24">
                  <wp:extent cx="1009650" cy="533400"/>
                  <wp:effectExtent l="0" t="0" r="0" b="0"/>
                  <wp:docPr id="14"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9650" cy="533400"/>
                          </a:xfrm>
                          <a:prstGeom prst="rect">
                            <a:avLst/>
                          </a:prstGeom>
                          <a:noFill/>
                          <a:ln>
                            <a:noFill/>
                          </a:ln>
                        </pic:spPr>
                      </pic:pic>
                    </a:graphicData>
                  </a:graphic>
                </wp:inline>
              </w:drawing>
            </w:r>
          </w:p>
        </w:tc>
        <w:tc>
          <w:tcPr>
            <w:tcW w:w="286" w:type="dxa"/>
            <w:vAlign w:val="center"/>
          </w:tcPr>
          <w:p w:rsidR="00007E3E" w:rsidRPr="00007E3E" w:rsidRDefault="00007E3E" w:rsidP="00007E3E">
            <w:pPr>
              <w:jc w:val="center"/>
              <w:rPr>
                <w:rFonts w:ascii="Courier New" w:hAnsi="Courier New"/>
                <w:b/>
                <w:bCs/>
              </w:rPr>
            </w:pPr>
          </w:p>
        </w:tc>
        <w:tc>
          <w:tcPr>
            <w:tcW w:w="2578" w:type="dxa"/>
            <w:tcBorders>
              <w:top w:val="nil"/>
              <w:left w:val="nil"/>
              <w:bottom w:val="single" w:sz="4" w:space="0" w:color="auto"/>
              <w:right w:val="nil"/>
            </w:tcBorders>
            <w:vAlign w:val="center"/>
            <w:hideMark/>
          </w:tcPr>
          <w:p w:rsidR="00007E3E" w:rsidRPr="00007E3E" w:rsidRDefault="00007E3E" w:rsidP="00007E3E">
            <w:pPr>
              <w:jc w:val="center"/>
              <w:rPr>
                <w:rFonts w:ascii="Courier New" w:hAnsi="Courier New"/>
                <w:b/>
                <w:bCs/>
              </w:rPr>
            </w:pPr>
            <w:r w:rsidRPr="00007E3E">
              <w:rPr>
                <w:noProof/>
              </w:rPr>
              <w:drawing>
                <wp:inline distT="0" distB="0" distL="0" distR="0" wp14:anchorId="1EC8FF11" wp14:editId="166724B1">
                  <wp:extent cx="1076325" cy="790575"/>
                  <wp:effectExtent l="0" t="0" r="9525" b="9525"/>
                  <wp:docPr id="15"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76325" cy="790575"/>
                          </a:xfrm>
                          <a:prstGeom prst="rect">
                            <a:avLst/>
                          </a:prstGeom>
                          <a:noFill/>
                          <a:ln>
                            <a:noFill/>
                          </a:ln>
                        </pic:spPr>
                      </pic:pic>
                    </a:graphicData>
                  </a:graphic>
                </wp:inline>
              </w:drawing>
            </w:r>
          </w:p>
        </w:tc>
      </w:tr>
      <w:tr w:rsidR="00007E3E" w:rsidRPr="00007E3E" w:rsidTr="00007E3E">
        <w:tc>
          <w:tcPr>
            <w:tcW w:w="2461" w:type="dxa"/>
            <w:tcBorders>
              <w:top w:val="single" w:sz="4" w:space="0" w:color="auto"/>
              <w:left w:val="nil"/>
              <w:bottom w:val="nil"/>
              <w:right w:val="nil"/>
            </w:tcBorders>
            <w:vAlign w:val="bottom"/>
            <w:hideMark/>
          </w:tcPr>
          <w:p w:rsidR="00007E3E" w:rsidRPr="00007E3E" w:rsidRDefault="00007E3E" w:rsidP="00007E3E">
            <w:pPr>
              <w:jc w:val="center"/>
              <w:rPr>
                <w:rFonts w:ascii="Courier New" w:hAnsi="Courier New"/>
                <w:b/>
                <w:bCs/>
              </w:rPr>
            </w:pPr>
            <w:r w:rsidRPr="00007E3E">
              <w:rPr>
                <w:rFonts w:ascii="Courier New" w:hAnsi="Courier New"/>
                <w:b/>
                <w:bCs/>
                <w:rtl/>
              </w:rPr>
              <w:t>יעל רז לוי, שופטת</w:t>
            </w:r>
          </w:p>
          <w:p w:rsidR="00007E3E" w:rsidRPr="00007E3E" w:rsidRDefault="00007E3E" w:rsidP="00007E3E">
            <w:pPr>
              <w:jc w:val="center"/>
              <w:rPr>
                <w:rFonts w:ascii="Courier New" w:hAnsi="Courier New"/>
                <w:b/>
                <w:bCs/>
              </w:rPr>
            </w:pPr>
            <w:r w:rsidRPr="00007E3E">
              <w:rPr>
                <w:rFonts w:ascii="Courier New" w:hAnsi="Courier New"/>
                <w:b/>
                <w:bCs/>
                <w:rtl/>
              </w:rPr>
              <w:t>סגנית הנשיא, אב"ד</w:t>
            </w:r>
          </w:p>
        </w:tc>
        <w:tc>
          <w:tcPr>
            <w:tcW w:w="284" w:type="dxa"/>
            <w:vAlign w:val="bottom"/>
          </w:tcPr>
          <w:p w:rsidR="00007E3E" w:rsidRPr="00007E3E" w:rsidRDefault="00007E3E" w:rsidP="00007E3E">
            <w:pPr>
              <w:jc w:val="center"/>
              <w:rPr>
                <w:rFonts w:ascii="Courier New" w:hAnsi="Courier New"/>
                <w:b/>
                <w:bCs/>
                <w:rtl/>
              </w:rPr>
            </w:pPr>
          </w:p>
        </w:tc>
        <w:tc>
          <w:tcPr>
            <w:tcW w:w="2265" w:type="dxa"/>
            <w:tcBorders>
              <w:top w:val="single" w:sz="4" w:space="0" w:color="auto"/>
              <w:left w:val="nil"/>
              <w:bottom w:val="nil"/>
              <w:right w:val="nil"/>
            </w:tcBorders>
            <w:hideMark/>
          </w:tcPr>
          <w:p w:rsidR="00007E3E" w:rsidRPr="00007E3E" w:rsidRDefault="00007E3E" w:rsidP="00007E3E">
            <w:pPr>
              <w:jc w:val="center"/>
              <w:rPr>
                <w:rFonts w:ascii="Courier New" w:hAnsi="Courier New"/>
                <w:b/>
                <w:bCs/>
              </w:rPr>
            </w:pPr>
            <w:r w:rsidRPr="00007E3E">
              <w:rPr>
                <w:rFonts w:ascii="Courier New" w:hAnsi="Courier New"/>
                <w:b/>
                <w:bCs/>
                <w:rtl/>
              </w:rPr>
              <w:t>אהרון משניות, שופט</w:t>
            </w:r>
          </w:p>
        </w:tc>
        <w:tc>
          <w:tcPr>
            <w:tcW w:w="286" w:type="dxa"/>
          </w:tcPr>
          <w:p w:rsidR="00007E3E" w:rsidRPr="00007E3E" w:rsidRDefault="00007E3E" w:rsidP="00007E3E">
            <w:pPr>
              <w:jc w:val="center"/>
              <w:rPr>
                <w:rFonts w:ascii="Courier New" w:hAnsi="Courier New"/>
                <w:b/>
                <w:bCs/>
                <w:rtl/>
              </w:rPr>
            </w:pPr>
          </w:p>
        </w:tc>
        <w:tc>
          <w:tcPr>
            <w:tcW w:w="2578" w:type="dxa"/>
            <w:tcBorders>
              <w:top w:val="single" w:sz="4" w:space="0" w:color="auto"/>
              <w:left w:val="nil"/>
              <w:bottom w:val="nil"/>
              <w:right w:val="nil"/>
            </w:tcBorders>
            <w:hideMark/>
          </w:tcPr>
          <w:p w:rsidR="00007E3E" w:rsidRPr="00007E3E" w:rsidRDefault="00007E3E" w:rsidP="00007E3E">
            <w:pPr>
              <w:jc w:val="center"/>
              <w:rPr>
                <w:rFonts w:ascii="Courier New" w:hAnsi="Courier New"/>
                <w:b/>
                <w:bCs/>
              </w:rPr>
            </w:pPr>
            <w:r w:rsidRPr="00007E3E">
              <w:rPr>
                <w:rFonts w:ascii="Courier New" w:hAnsi="Courier New"/>
                <w:b/>
                <w:bCs/>
                <w:rtl/>
              </w:rPr>
              <w:t>רחל תורן, שופטת</w:t>
            </w:r>
          </w:p>
        </w:tc>
      </w:tr>
    </w:tbl>
    <w:p w:rsidR="00507694" w:rsidRPr="000F2247" w:rsidRDefault="00507694" w:rsidP="00AB25B2">
      <w:pPr>
        <w:jc w:val="center"/>
        <w:rPr>
          <w:rFonts w:ascii="Arial" w:hAnsi="Arial"/>
          <w:b/>
          <w:bCs/>
          <w:sz w:val="26"/>
          <w:szCs w:val="26"/>
          <w:rtl/>
        </w:rPr>
      </w:pPr>
    </w:p>
    <w:sectPr w:rsidR="00507694" w:rsidRPr="000F2247" w:rsidSect="00507694">
      <w:headerReference w:type="even" r:id="rId18"/>
      <w:headerReference w:type="default" r:id="rId19"/>
      <w:footerReference w:type="even" r:id="rId20"/>
      <w:footerReference w:type="default" r:id="rId21"/>
      <w:headerReference w:type="first" r:id="rId22"/>
      <w:footerReference w:type="first" r:id="rId23"/>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368" w:rsidRDefault="00C27368">
      <w:r>
        <w:separator/>
      </w:r>
    </w:p>
  </w:endnote>
  <w:endnote w:type="continuationSeparator" w:id="0">
    <w:p w:rsidR="00C27368" w:rsidRDefault="00C27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607942">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607942">
      <w:rPr>
        <w:noProof/>
        <w:rtl/>
      </w:rPr>
      <w:t>17</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E3E" w:rsidRDefault="00007E3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368" w:rsidRDefault="00C27368">
      <w:r>
        <w:separator/>
      </w:r>
    </w:p>
  </w:footnote>
  <w:footnote w:type="continuationSeparator" w:id="0">
    <w:p w:rsidR="00C27368" w:rsidRDefault="00C27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E3E" w:rsidRDefault="00007E3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507694">
      <w:trPr>
        <w:trHeight w:val="337"/>
        <w:jc w:val="center"/>
      </w:trPr>
      <w:tc>
        <w:tcPr>
          <w:tcW w:w="5131" w:type="dxa"/>
        </w:tcPr>
        <w:p w:rsidR="00507694" w:rsidRDefault="00C27368">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תפח"ע</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33278-04-22</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חזן</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E3E" w:rsidRDefault="00007E3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25EAE"/>
    <w:multiLevelType w:val="hybridMultilevel"/>
    <w:tmpl w:val="11F4230C"/>
    <w:lvl w:ilvl="0" w:tplc="CA604DE2">
      <w:start w:val="1"/>
      <w:numFmt w:val="hebrew1"/>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13267"/>
    <w:docVar w:name="CourtID" w:val="1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213267&amp;lt;/CaseID&amp;gt;_x000d__x000a_        &amp;lt;DocumentID&amp;gt;444548287&amp;lt;/DocumentID&amp;gt;_x000d__x000a_      &amp;lt;/dt_DocumentCase&amp;gt;_x000d__x000a_      &amp;lt;dt_Document diffgr:id=&amp;quot;dt_Document1&amp;quot; msdata:rowOrder=&amp;quot;0&amp;quot;&amp;gt;_x000d__x000a_        &amp;lt;DocumentID&amp;gt;444548287&amp;lt;/DocumentID&amp;gt;_x000d__x000a_        &amp;lt;DocumentMainID&amp;gt;0&amp;lt;/DocumentMainID&amp;gt;_x000d__x000a_        &amp;lt;CaseID&amp;gt;79213267&amp;lt;/CaseID&amp;gt;_x000d__x000a_        &amp;lt;DocumentIncludedDate&amp;gt;2024-05-30T14:24:42.567+03:00&amp;lt;/DocumentIncludedDate&amp;gt;_x000d__x000a_        &amp;lt;DocumentDesc&amp;gt;גזר דין  שניתנה ע&amp;quot;י  רחל תורן&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4&amp;lt;/DocumentTypeID&amp;gt;_x000d__x000a_        &amp;lt;DocumentSavingDate&amp;gt;2024-05-30T14:24:42.567+03:00&amp;lt;/DocumentSavingDate&amp;gt;_x000d__x000a_        &amp;lt;DocumentChangeDate&amp;gt;2024-05-30T14:24:42.753+03:00&amp;lt;/DocumentChangeDate&amp;gt;_x000d__x000a_        &amp;lt;IsScanned&amp;gt;false&amp;lt;/IsScanned&amp;gt;_x000d__x000a_        &amp;lt;PageQuantity&amp;gt;0&amp;lt;/PageQuantity&amp;gt;_x000d__x000a_        &amp;lt;DocumentStatusID&amp;gt;2&amp;lt;/DocumentStatusID&amp;gt;_x000d__x000a_        &amp;lt;DocumentStatusChangeDate&amp;gt;2024-05-30T14:24:42.753+03:00&amp;lt;/DocumentStatusChangeDate&amp;gt;_x000d__x000a_        &amp;lt;TemplateVersionID&amp;gt;1&amp;lt;/TemplateVersionID&amp;gt;_x000d__x000a_        &amp;lt;DocumentChangeUserID&amp;gt;057182677@GOV.IL&amp;lt;/DocumentChangeUserID&amp;gt;_x000d__x000a_        &amp;lt;DocumentCreationUserID&amp;gt;057182677@GOV.IL&amp;lt;/DocumentCreationUserID&amp;gt;_x000d__x000a_        &amp;lt;OriginalDocumentID&amp;gt;444325986&amp;lt;/OriginalDocumentID&amp;gt;_x000d__x000a_        &amp;lt;PrivillegeID&amp;gt;1&amp;lt;/PrivillegeID&amp;gt;_x000d__x000a_        &amp;lt;FromPage&amp;gt;0&amp;lt;/FromPage&amp;gt;_x000d__x000a_        &amp;lt;ToPage&amp;gt;0&amp;lt;/ToPage&amp;gt;_x000d__x000a_        &amp;lt;FileID&amp;gt;d3ba3ec98f010000090037f6aa365545&amp;lt;/FileID&amp;gt;_x000d__x000a_        &amp;lt;URL&amp;gt;\\CTLNFSV02\doc_repository\416\746\7e303fb1579b440a867009a3d4a70f0b_copy.docx&amp;lt;/URL&amp;gt;_x000d__x000a_        &amp;lt;OlivePriority&amp;gt;1&amp;lt;/OlivePriority&amp;gt;_x000d__x000a_        &amp;lt;MetaDataTypeID&amp;gt;1&amp;lt;/MetaDataTypeID&amp;gt;_x000d__x000a_        &amp;lt;MetaDataChangeDate&amp;gt;2024-05-30T14:24:42.75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4&amp;amp;lt;/anyType&amp;amp;gt;_x000d__x000a_    &amp;amp;lt;anyType xsi:type=&amp;quot;xsd:string&amp;quot;&amp;amp;gt;1&amp;amp;lt;/anyType&amp;amp;gt;_x000d__x000a_    &amp;amp;lt;anyType xsi:type=&amp;quot;xsd:string&amp;quot;&amp;amp;gt;רחל תורן&amp;amp;lt;/anyType&amp;amp;gt;_x000d__x000a_    &amp;amp;lt;anyType xsi:type=&amp;quot;xsd:dateTime&amp;quot;&amp;amp;gt;2024-05-30T14:23:35.777351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5-30T14:23:35.77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507694"/>
    <w:rsid w:val="0000752B"/>
    <w:rsid w:val="00007E3E"/>
    <w:rsid w:val="00031F8A"/>
    <w:rsid w:val="000454A8"/>
    <w:rsid w:val="00054FC4"/>
    <w:rsid w:val="0006726A"/>
    <w:rsid w:val="000B6F7D"/>
    <w:rsid w:val="000D5C75"/>
    <w:rsid w:val="000F2247"/>
    <w:rsid w:val="00100577"/>
    <w:rsid w:val="001352F8"/>
    <w:rsid w:val="001A1D8A"/>
    <w:rsid w:val="001A22EB"/>
    <w:rsid w:val="00212125"/>
    <w:rsid w:val="00224AC0"/>
    <w:rsid w:val="00282115"/>
    <w:rsid w:val="002A6ED9"/>
    <w:rsid w:val="002B7D23"/>
    <w:rsid w:val="002D6C61"/>
    <w:rsid w:val="002E39CD"/>
    <w:rsid w:val="00367565"/>
    <w:rsid w:val="003A54AC"/>
    <w:rsid w:val="003D7ACD"/>
    <w:rsid w:val="003D7D8A"/>
    <w:rsid w:val="003E0C9F"/>
    <w:rsid w:val="003E29B7"/>
    <w:rsid w:val="004215DC"/>
    <w:rsid w:val="004902D6"/>
    <w:rsid w:val="004971C7"/>
    <w:rsid w:val="00507694"/>
    <w:rsid w:val="00585BE5"/>
    <w:rsid w:val="005B0F84"/>
    <w:rsid w:val="005C0BF8"/>
    <w:rsid w:val="005C7B0B"/>
    <w:rsid w:val="00607942"/>
    <w:rsid w:val="006354D6"/>
    <w:rsid w:val="00650CAE"/>
    <w:rsid w:val="00683ABD"/>
    <w:rsid w:val="00684E84"/>
    <w:rsid w:val="006C2095"/>
    <w:rsid w:val="00706644"/>
    <w:rsid w:val="007473E7"/>
    <w:rsid w:val="00757983"/>
    <w:rsid w:val="00782FB7"/>
    <w:rsid w:val="00821F29"/>
    <w:rsid w:val="00822550"/>
    <w:rsid w:val="00832D73"/>
    <w:rsid w:val="008819B4"/>
    <w:rsid w:val="008E2D55"/>
    <w:rsid w:val="00947B38"/>
    <w:rsid w:val="009705CC"/>
    <w:rsid w:val="00973C24"/>
    <w:rsid w:val="009A730D"/>
    <w:rsid w:val="009E35A7"/>
    <w:rsid w:val="009E49A1"/>
    <w:rsid w:val="009F504D"/>
    <w:rsid w:val="00A504C4"/>
    <w:rsid w:val="00A66841"/>
    <w:rsid w:val="00A9098D"/>
    <w:rsid w:val="00AB25B2"/>
    <w:rsid w:val="00B05847"/>
    <w:rsid w:val="00B22E0A"/>
    <w:rsid w:val="00BD67E7"/>
    <w:rsid w:val="00BE0015"/>
    <w:rsid w:val="00C02463"/>
    <w:rsid w:val="00C27368"/>
    <w:rsid w:val="00C42D4A"/>
    <w:rsid w:val="00C45023"/>
    <w:rsid w:val="00C55E62"/>
    <w:rsid w:val="00C572E8"/>
    <w:rsid w:val="00C90A82"/>
    <w:rsid w:val="00C96BAC"/>
    <w:rsid w:val="00CF18B5"/>
    <w:rsid w:val="00D202F4"/>
    <w:rsid w:val="00D3203D"/>
    <w:rsid w:val="00D33BE7"/>
    <w:rsid w:val="00DD5A6C"/>
    <w:rsid w:val="00E70F9C"/>
    <w:rsid w:val="00ED4465"/>
    <w:rsid w:val="00F22C70"/>
    <w:rsid w:val="00F23D37"/>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table" w:customStyle="1" w:styleId="10">
    <w:name w:val="רשת טבלה1"/>
    <w:basedOn w:val="a1"/>
    <w:next w:val="a8"/>
    <w:rsid w:val="00007E3E"/>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208787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6247977"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nevo.co.il/case/27011473" TargetMode="External"/><Relationship Id="rId17" Type="http://schemas.openxmlformats.org/officeDocument/2006/relationships/image" Target="media/image3.png"/><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6247993"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hyperlink" Target="http://www.nevo.co.il/case/487312"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nevo.co.il/case/22303378" TargetMode="External"/><Relationship Id="rId14" Type="http://schemas.openxmlformats.org/officeDocument/2006/relationships/hyperlink" Target="http://www.nevo.co.il/case/21476474"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AF3697"/>
    <w:rsid w:val="00CA6048"/>
    <w:rsid w:val="00CC13F5"/>
    <w:rsid w:val="00E65DA3"/>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E65DA3"/>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E65DA3"/>
    <w:pPr>
      <w:bidi/>
      <w:spacing w:after="0" w:line="240" w:lineRule="auto"/>
    </w:pPr>
    <w:rPr>
      <w:rFonts w:ascii="Times New Roman" w:eastAsia="Times New Roman" w:hAnsi="Times New Roman" w:cs="David"/>
      <w:sz w:val="24"/>
      <w:szCs w:val="24"/>
    </w:rPr>
  </w:style>
  <w:style w:type="paragraph" w:customStyle="1" w:styleId="3B2DA772F74C4412A861067D9026B154">
    <w:name w:val="3B2DA772F74C4412A861067D9026B154"/>
    <w:rsid w:val="00E65DA3"/>
    <w:pPr>
      <w:bidi/>
    </w:pPr>
  </w:style>
  <w:style w:type="paragraph" w:customStyle="1" w:styleId="0D8B68A41CCD43FDBA37B0C6AA098EF7">
    <w:name w:val="0D8B68A41CCD43FDBA37B0C6AA098EF7"/>
    <w:rsid w:val="00E65DA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שב"ס – צפייה בתיקים</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248139919</CasePartyID>
        <PartyTypeID>3</PartyTypeID>
        <ActivityStatusID>1</ActivityStatusID>
        <LegalEntityID>7551403</LegalEntityID>
        <CaseLegalEntityID>122027533</CaseLegalEntityID>
        <AssistantRoleID>101</AssistantRoleID>
        <AuthenticationTypeID>13</AuthenticationTypeID>
        <AuthenticationTypeName>משרדי ממשלה</AuthenticationTypeName>
        <LegalEntityNumber>513442041</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המרכז להערכת מסוכנות</FullName>
        <LastName>המרכז להערכת מסוכנות</LastName>
        <PartyPropertyName/>
        <AuthenticationTypeAndNumber>משרדי ממשלה 520024664</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266056537</CasePartyID>
        <PartyTypeID>3</PartyTypeID>
        <ActivityStatusID>1</ActivityStatusID>
        <LegalEntityID>7562533</LegalEntityID>
        <CaseLegalEntityID>127681653</CaseLegalEntityID>
        <AssistantRoleID>33</AssistantRoleID>
        <AuthenticationTypeID>13</AuthenticationTypeID>
        <AuthenticationTypeName>משרדי ממשלה</AuthenticationTypeName>
        <LegalEntityNumber>520024664</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יצחק רבין 1 ת.ד 1 באר יעקב </FullAddress>
        <EmailAddress>mesukanut@MOH.GOV.IL</EmailAddress>
        <MotionID>0</MotionID>
        <CasePleaID>0</CasePleaID>
        <LinkedCaseID>0</LinkedCaseID>
        <PartyID>1</PartyID>
        <CasePartyCategoryID>2</CasePartyCategoryID>
        <LegalEntityAddressID>80342512</LegalEntityAddressID>
        <LegalEntityEmailAddressID>68315414</LegalEntityEmailAddressID>
        <PleaTypeID>8</PleaTypeID>
        <GroupPartyAlias/>
        <IsConverted>false</IsConverted>
        <LegalEntityRegisteredNameID>416292</LegalEntityRegisteredNameID>
        <RepresentatedNamesOfAssistant/>
        <LegalEntityTypeID>3</LegalEntityTypeID>
        <IsVerdictExists>false</IsVerdictExists>
        <IsAsirAzir>false</IsAsirAzir>
        <IsPublicationProhibited>false</IsPublicationProhibited>
        <PublicationProhibitedFullName>המרכז להערכת מסוכנות</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ליאורה אוקראינסקי</FullName>
        <FirstName>ליאורה</FirstName>
        <LastName>אוקראינסקי</LastName>
        <PartyPropertyName/>
        <AuthenticationTypeAndNumber>ת"ז 216955146</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240053546</CasePartyID>
        <PartyTypeID>3</PartyTypeID>
        <ActivityStatusID>1</ActivityStatusID>
        <LegalEntityID>80449028</LegalEntityID>
        <CaseLegalEntityID>119471012</CaseLegalEntityID>
        <AssistantRoleID>12</AssistantRoleID>
        <AuthenticationTypeID>1</AuthenticationTypeID>
        <AuthenticationTypeName>ת"ז</AuthenticationTypeName>
        <LegalEntityNumber>216955146</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סייפן 10 אשדוד </FullAddress>
        <MotionID>0</MotionID>
        <CasePleaID>0</CasePleaID>
        <BirthDate>2008-02-14T00:00:00+02:00</BirthDate>
        <FatherName>דמיטרי</FatherName>
        <LinkedCaseID>0</LinkedCaseID>
        <PartyID>1</PartyID>
        <CasePartyCategoryID>2</CasePartyCategoryID>
        <LegalEntityAddressID>86421269</LegalEntityAddressID>
        <PleaTypeID>8</PleaTypeID>
        <GroupPartyAlias/>
        <IsConverted>false</IsConverted>
        <LegalEntityRegisteredNameID>9891695</LegalEntityRegisteredNameID>
        <LegalEntityNameID>92995837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ליאורה אוקראינסקי</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תמרה מישל אוקראינסקי</FullName>
        <FirstName>תמרה מישל</FirstName>
        <LastName>אוקראינסקי</LastName>
        <PartyPropertyName/>
        <AuthenticationTypeAndNumber>ת"ז 322083767</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240460281</CasePartyID>
        <PartyTypeID>3</PartyTypeID>
        <ActivityStatusID>1</ActivityStatusID>
        <LegalEntityID>34575841</LegalEntityID>
        <CaseLegalEntityID>119598352</CaseLegalEntityID>
        <AssistantRoleID>40</AssistantRoleID>
        <AuthenticationTypeID>1</AuthenticationTypeID>
        <AuthenticationTypeName>ת"ז</AuthenticationTypeName>
        <LegalEntityNumber>322083767</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סייפן 10 אשדוד </FullAddress>
        <MotionID>0</MotionID>
        <CasePleaID>0</CasePleaID>
        <FatherName>דוד</FatherName>
        <LinkedCaseID>0</LinkedCaseID>
        <PartyID>1</PartyID>
        <CasePartyCategoryID>2</CasePartyCategoryID>
        <LegalEntityAddressID>86458524</LegalEntityAddressID>
        <PleaTypeID>8</PleaTypeID>
        <GroupPartyAlias/>
        <IsConverted>false</IsConverted>
        <LegalEntityRegisteredNameID>9518073</LegalEntityRegisteredNameID>
        <LegalEntityNameID>93044724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תמרה מישל אוקראינסקי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אנגלינה טרסנקו</FullName>
        <FirstName>אנגלינה</FirstName>
        <LastName>טרסנקו</LastName>
        <PartyPropertyName/>
        <AuthenticationTypeAndNumber>ת"ז 332623917</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240053360</CasePartyID>
        <PartyTypeID>3</PartyTypeID>
        <ActivityStatusID>1</ActivityStatusID>
        <LegalEntityID>75403158</LegalEntityID>
        <CaseLegalEntityID>119470984</CaseLegalEntityID>
        <AssistantRoleID>12</AssistantRoleID>
        <AuthenticationTypeID>1</AuthenticationTypeID>
        <AuthenticationTypeName>ת"ז</AuthenticationTypeName>
        <LegalEntityNumber>332623917</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מבוא הסיפן 10/76 אשדוד </FullAddress>
        <MotionID>0</MotionID>
        <CasePleaID>0</CasePleaID>
        <FatherName>ויקטור</FatherName>
        <LinkedCaseID>0</LinkedCaseID>
        <PartyID>1</PartyID>
        <CasePartyCategoryID>2</CasePartyCategoryID>
        <LegalEntityAddressID>86421254</LegalEntityAddressID>
        <PleaTypeID>8</PleaTypeID>
        <GroupPartyAlias/>
        <IsConverted>false</IsConverted>
        <LegalEntityRegisteredNameID>9891691</LegalEntityRegisteredNameID>
        <LegalEntityNameID>92995823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אנגלינה טרסנקו</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נטלי נטשה זרביב</FullName>
        <FirstName>נטלי</FirstName>
        <LastName>זרביב</LastName>
        <PartyPropertyName/>
        <AuthenticationTypeAndNumber>ת"ז 212331110</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240053513</CasePartyID>
        <PartyTypeID>3</PartyTypeID>
        <ActivityStatusID>1</ActivityStatusID>
        <LegalEntityID>80449026</LegalEntityID>
        <CaseLegalEntityID>119471002</CaseLegalEntityID>
        <AssistantRoleID>12</AssistantRoleID>
        <AuthenticationTypeID>1</AuthenticationTypeID>
        <AuthenticationTypeName>ת"ז</AuthenticationTypeName>
        <LegalEntityNumber>212331110</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הציונות 79/8 אשדוד </FullAddress>
        <MotionID>0</MotionID>
        <CasePleaID>0</CasePleaID>
        <FatherName>יורם רחמים</FatherName>
        <LinkedCaseID>0</LinkedCaseID>
        <PartyID>1</PartyID>
        <CasePartyCategoryID>2</CasePartyCategoryID>
        <LegalEntityAddressID>86421265</LegalEntityAddressID>
        <PleaTypeID>8</PleaTypeID>
        <GroupPartyAlias/>
        <IsConverted>false</IsConverted>
        <LegalEntityRegisteredNameID>9891694</LegalEntityRegisteredNameID>
        <LegalEntityNameID>92995836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נטשה זרביב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כריסטינה צצבשוילי</FullName>
        <FirstName>כריסטינה</FirstName>
        <LastName>צצבשוילי</LastName>
        <PartyPropertyName/>
        <AuthenticationTypeAndNumber>ת"ז 323316471</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240053401</CasePartyID>
        <PartyTypeID>3</PartyTypeID>
        <ActivityStatusID>1</ActivityStatusID>
        <OrdinalNumber>1</OrdinalNumber>
        <LegalEntityID>80449023</LegalEntityID>
        <CaseLegalEntityID>119470991</CaseLegalEntityID>
        <AssistantRoleID>12</AssistantRoleID>
        <AuthenticationTypeID>1</AuthenticationTypeID>
        <AuthenticationTypeName>ת"ז</AuthenticationTypeName>
        <LegalEntityNumber>323316471</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צדקת יוסף 2 אשדוד </FullAddress>
        <MotionID>0</MotionID>
        <CasePleaID>0</CasePleaID>
        <FatherName>ממוקה</FatherName>
        <LinkedCaseID>0</LinkedCaseID>
        <PartyID>1</PartyID>
        <CasePartyCategoryID>2</CasePartyCategoryID>
        <LegalEntityAddressID>86421258</LegalEntityAddressID>
        <PleaTypeID>8</PleaTypeID>
        <GroupPartyAlias/>
        <IsConverted>false</IsConverted>
        <LegalEntityRegisteredNameID>9891693</LegalEntityRegisteredNameID>
        <LegalEntityNameID>92995828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כריסטינה צצבשוילי</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240051311</CasePartyID>
        <PartyTypeID>1</PartyTypeID>
        <ActivityStatusID>1</ActivityStatusID>
        <PartyAliasID>11</PartyAliasID>
        <PartyAliasName>מאשימה</PartyAliasName>
        <OrdinalNumber>1</OrdinalNumber>
        <LegalEntityID>4</LegalEntityID>
        <CaseLegalEntityID>119470331</CaseLegalEntityID>
        <AuthenticationTypeID>41</AuthenticationTypeID>
        <AuthenticationTypeName>מדינת ישראל </AuthenticationTypeName>
        <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יוסי בוקר</FullName>
        <FirstName>יוסי</FirstName>
        <LastName>בוקר</LastName>
        <PartyPropertyName/>
        <AuthenticationTypeAndNumber>מ.ר. 64301</AuthenticationTypeAndNumber>
        <RepresentatedOrRepresentativesNames>ברנרד אמיר יהוד חזן</RepresentatedOrRepresentativesNames>
        <RepresentatedOrRepresentativesCount>1</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240503232</CasePartyID>
        <PartyTypeID>2</PartyTypeID>
        <ActivityStatusID>1</ActivityStatusID>
        <PartyAliasID>32</PartyAliasID>
        <PartyAliasName>בא כוח נאשמים</PartyAliasName>
        <OrdinalNumber>1</OrdinalNumber>
        <LegalEntityID>72283796</LegalEntityID>
        <CaseLegalEntityID>119608869</CaseLegalEntityID>
        <AuthenticationTypeID>4</AuthenticationTypeID>
        <AuthenticationTypeName>מ.ר.</AuthenticationTypeName>
        <LegalEntityNumber>64301</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מוטי קינד 2 רחובות משרד 606</FullAddress>
        <EmailAddress>bokerlawoffice@gmail.com</EmailAddress>
        <MotionID>0</MotionID>
        <CasePleaID>0</CasePleaID>
        <LinkedCaseID>0</LinkedCaseID>
        <PartyID>2</PartyID>
        <CasePartyCategoryID>2</CasePartyCategoryID>
        <LegalEntityAddressID>88139418</LegalEntityAddressID>
        <LegalEntityEmailAddressID>67924509</LegalEntityEmailAddressID>
        <PleaTypeID>8</PleaTypeID>
        <LawyerOfficeName>משרד עו"ד יוסי בוקר</LawyerOfficeName>
        <LawyerOfficeID>72283797</LawyerOfficeID>
        <GroupPartyAlias/>
        <IsConverted>false</IsConverted>
        <LegalEntityNameID>76095011</LegalEntityNameID>
        <RepresentatedNamesOfAssistant/>
        <LegalEntityTypeID>4</LegalEntityTypeID>
        <IsVerdictExists>false</IsVerdictExists>
        <IsAsirAzir>false</IsAsirAzir>
        <IsPublicationProhibited>false</IsPublicationProhibited>
        <PublicationProhibitedFullName>יוסי בוקר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ברנרד אמיר יהוד חזן</FullName>
        <FirstName>ברנרד אמיר יהודה</FirstName>
        <LastName>חזן</LastName>
        <PartyPropertyName/>
        <AuthenticationTypeAndNumber>ת"ז 011924925</AuthenticationTypeAndNumber>
        <RepresentatedOrRepresentativesNames>יוסי בוקר</RepresentatedOrRepresentativesNames>
        <RepresentatedOrRepresentativesCount>1</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240051313</CasePartyID>
        <PartyTypeID>1</PartyTypeID>
        <ActivityStatusID>1</ActivityStatusID>
        <PartyAliasID>13</PartyAliasID>
        <PartyAliasName>נאשם</PartyAliasName>
        <OrdinalNumber>1</OrdinalNumber>
        <LegalEntityID>80417716</LegalEntityID>
        <CaseLegalEntityID>119470333</CaseLegalEntityID>
        <AuthenticationTypeID>1</AuthenticationTypeID>
        <AuthenticationTypeName>ת"ז</AuthenticationTypeName>
        <LegalEntityNumber>011924925</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גרינבוים 27/29 נתניה </FullAddress>
        <MotionID>0</MotionID>
        <CasePleaID>0</CasePleaID>
        <FatherName>מוריס</FatherName>
        <LinkedCaseID>0</LinkedCaseID>
        <PartyID>2</PartyID>
        <CasePartyCategoryID>2</CasePartyCategoryID>
        <LegalEntityAddressID>87640102</LegalEntityAddressID>
        <PleaTypeID>8</PleaTypeID>
        <GroupPartyAlias>נאשמים</GroupPartyAlias>
        <IsConverted>false</IsConverted>
        <LegalEntityRegisteredNameID>9873521</LegalEntityRegisteredNameID>
        <LegalEntityNameID>92995598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ברנרד אמיר יהוד חזן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248071550</CasePartyID>
        <PartyTypeID>2</PartyTypeID>
        <ActivityStatusID>1</ActivityStatusID>
        <PartyAliasID>30</PartyAliasID>
        <PartyAliasName>בא כוח מאשימה</PartyAliasName>
        <OrdinalNumber>2</OrdinalNumber>
        <LegalEntityID>404183</LegalEntityID>
        <CaseLegalEntityID>122005813</CaseLegalEntityID>
        <AuthenticationTypeID>4</AuthenticationTypeID>
        <AuthenticationTypeName>מ.ר.</AuthenticationTypeName>
        <LegalEntityNumber>27974</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נ.ז מתלוננת 2</FullName>
        <FirstName>נ.ז</FirstName>
        <LastName>מתלוננת 2</LastName>
        <PartyPropertyName/>
        <AuthenticationTypeAndNumber>ת"ז </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250083577</CasePartyID>
        <PartyTypeID>4</PartyTypeID>
        <ActivityStatusID>1</ActivityStatusID>
        <PartyAliasID>71</PartyAliasID>
        <PartyAliasName>עד מאשימה</PartyAliasName>
        <OrdinalNumber>2</OrdinalNumber>
        <LegalEntityID>80943583</LegalEntityID>
        <CaseLegalEntityID>122611200</CaseLegalEntityID>
        <AuthenticationTypeID>1</AuthenticationTypeID>
        <AuthenticationTypeName>ת"ז</AuthenticationTypeName>
        <IsMainPartyType>true</IsMainPartyType>
        <CaseDisplayIdentifier>33278-04-22</CaseDisplayIdentifier>
        <CaseTypeID>10284</CaseTypeID>
        <CaseTypeName>תיק פלילי פשע חמור עדות קטין נפגע עבירה (תפח"ע)</CaseTypeName>
        <CaseName>מדינת ישראל נ' חזן</CaseName>
        <FullAddress>באמצעות המאשימה</FullAddress>
        <MotionID>0</MotionID>
        <CasePleaID>0</CasePleaID>
        <LinkedCaseID>0</LinkedCaseID>
        <PartyID>1</PartyID>
        <CasePartyCategoryID>2</CasePartyCategoryID>
        <LegalEntityAddressID>87379543</LegalEntityAddressID>
        <PleaTypeID>8</PleaTypeID>
        <GroupPartyAlias/>
        <IsConverted>false</IsConverted>
        <LegalEntityNameID>94196464</LegalEntityNameID>
        <RepresentatedNamesOfAssistant/>
        <LegalEntityTypeID>1</LegalEntityTypeID>
        <IsVerdictExists>false</IsVerdictExists>
        <IsAsirAzir>false</IsAsirAzir>
        <IsPublicationProhibited>false</IsPublicationProhibited>
        <PublicationProhibitedFullName>נ.ז מתלוננת 2</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אלמוג אודיז</FullName>
        <FirstName>אלמוג</FirstName>
        <LastName>אודיז</LastName>
        <PartyPropertyName/>
        <AuthenticationTypeAndNumber>ת"ז 207205063</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255971167</CasePartyID>
        <PartyTypeID>4</PartyTypeID>
        <ActivityStatusID>1</ActivityStatusID>
        <PartyAliasID>101</PartyAliasID>
        <PartyAliasName>עד בית משפט</PartyAliasName>
        <OrdinalNumber>3</OrdinalNumber>
        <LegalEntityID>75916850</LegalEntityID>
        <CaseLegalEntityID>124438682</CaseLegalEntityID>
        <AuthenticationTypeID>1</AuthenticationTypeID>
        <AuthenticationTypeName>ת"ז</AuthenticationTypeName>
        <LegalEntityNumber>207205063</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הר חורב5 אשדוד </FullAddress>
        <MotionID>0</MotionID>
        <CasePleaID>0</CasePleaID>
        <FatherName>אליהו</FatherName>
        <LinkedCaseID>0</LinkedCaseID>
        <PartyID>1</PartyID>
        <CasePartyCategoryID>2</CasePartyCategoryID>
        <LegalEntityAddressID>87940692</LegalEntityAddressID>
        <GrandfatherName/>
        <DrivingLicenseNumber>9897153</DrivingLicenseNumber>
        <PleaTypeID>8</PleaTypeID>
        <GroupPartyAlias/>
        <IsConverted>false</IsConverted>
        <LegalEntityRegisteredNameID>5857289</LegalEntityRegisteredNameID>
        <LegalEntityNameID>94895662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אלמוג אודיז</PublicationProhibitedFullName>
      </CaseParties>
      <CaseParties>
        <PartyTypeName>עד</PartyTypeName>
        <ProceedingType>כתב טענות עיקרי</ProceedingType>
        <PleaName>כתב אישום</PleaName>
        <PartyBelonging> - </PartyBelonging>
        <RoleName>עד בית משפט 5</RoleName>
        <IsSubProceeding>FALSE</IsSubProceeding>
        <FullName>הלנה רוזנברג</FullName>
        <FirstName>הלנה</FirstName>
        <LastName>רוזנברג</LastName>
        <PartyPropertyName/>
        <AuthenticationTypeAndNumber>ת"ז 310678651</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251449781</CasePartyID>
        <PartyTypeID>4</PartyTypeID>
        <ActivityStatusID>1</ActivityStatusID>
        <PartyAliasID>101</PartyAliasID>
        <PartyAliasName>עד בית משפט</PartyAliasName>
        <OrdinalNumber>5</OrdinalNumber>
        <LegalEntityID>81011290</LegalEntityID>
        <CaseLegalEntityID>123038515</CaseLegalEntityID>
        <AuthenticationTypeID>1</AuthenticationTypeID>
        <AuthenticationTypeName>ת"ז</AuthenticationTypeName>
        <LegalEntityNumber>310678651</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כוכב הדרום 7/15 אשדוד </FullAddress>
        <MotionID>0</MotionID>
        <CasePleaID>0</CasePleaID>
        <FatherName>ישראל</FatherName>
        <LinkedCaseID>0</LinkedCaseID>
        <PartyID>1</PartyID>
        <CasePartyCategoryID>2</CasePartyCategoryID>
        <LegalEntityAddressID>87559485</LegalEntityAddressID>
        <PleaTypeID>8</PleaTypeID>
        <GroupPartyAlias/>
        <IsConverted>false</IsConverted>
        <LegalEntityRegisteredNameID>10220859</LegalEntityRegisteredNameID>
        <LegalEntityNameID>94362033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הלנה רוזנברג</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יבגניה דמצ'נקו</FullName>
        <FirstName>יבגניה</FirstName>
        <LastName>דמצ'נקו</LastName>
        <PartyPropertyName/>
        <AuthenticationTypeAndNumber>ת"ז 332623909</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256078579</CasePartyID>
        <PartyTypeID>4</PartyTypeID>
        <ActivityStatusID>1</ActivityStatusID>
        <PartyAliasID>101</PartyAliasID>
        <PartyAliasName>עד בית משפט</PartyAliasName>
        <OrdinalNumber>6</OrdinalNumber>
        <LegalEntityID>81233447</LegalEntityID>
        <CaseLegalEntityID>124472124</CaseLegalEntityID>
        <AuthenticationTypeID>1</AuthenticationTypeID>
        <AuthenticationTypeName>ת"ז</AuthenticationTypeName>
        <LegalEntityNumber>332623909</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הסייפן 10/76 אשדוד </FullAddress>
        <MotionID>0</MotionID>
        <CasePleaID>0</CasePleaID>
        <FatherName>דוד</FatherName>
        <LinkedCaseID>0</LinkedCaseID>
        <PartyID>1</PartyID>
        <CasePartyCategoryID>2</CasePartyCategoryID>
        <LegalEntityAddressID>87951088</LegalEntityAddressID>
        <PleaTypeID>8</PleaTypeID>
        <GroupPartyAlias/>
        <IsConverted>false</IsConverted>
        <LegalEntityRegisteredNameID>10353943</LegalEntityRegisteredNameID>
        <LegalEntityNameID>94908278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יבגניה דמצ'נקו</PublicationProhibitedFullName>
      </CaseParties>
      <CaseParties>
        <PartyTypeName>עד</PartyTypeName>
        <ProceedingType>כתב טענות עיקרי</ProceedingType>
        <PleaName>כתב אישום</PleaName>
        <PartyBelonging> - </PartyBelonging>
        <RoleName>עד בית משפט 7</RoleName>
        <IsSubProceeding>FALSE</IsSubProceeding>
        <FullName>ילנה גלוזמן</FullName>
        <FirstName>ילנה</FirstName>
        <LastName>גלוזמן</LastName>
        <PartyPropertyName/>
        <AuthenticationTypeAndNumber>ת"ז 306576968</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253512730</CasePartyID>
        <PartyTypeID>4</PartyTypeID>
        <ActivityStatusID>1</ActivityStatusID>
        <PartyAliasID>101</PartyAliasID>
        <PartyAliasName>עד בית משפט</PartyAliasName>
        <OrdinalNumber>7</OrdinalNumber>
        <LegalEntityID>34526910</LegalEntityID>
        <CaseLegalEntityID>123678431</CaseLegalEntityID>
        <AuthenticationTypeID>1</AuthenticationTypeID>
        <AuthenticationTypeName>ת"ז</AuthenticationTypeName>
        <LegalEntityNumber>306576968</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אריק אנשטיין2/34 אשדוד </FullAddress>
        <MotionID>0</MotionID>
        <CasePleaID>0</CasePleaID>
        <FatherName>מרק</FatherName>
        <LinkedCaseID>0</LinkedCaseID>
        <PartyID>1</PartyID>
        <CasePartyCategoryID>2</CasePartyCategoryID>
        <LegalEntityAddressID>87709195</LegalEntityAddressID>
        <PleaTypeID>8</PleaTypeID>
        <GroupPartyAlias/>
        <IsConverted>false</IsConverted>
        <LegalEntityRegisteredNameID>6839826</LegalEntityRegisteredNameID>
        <LegalEntityNameID>94605948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ילנה גלוזמן</PublicationProhibitedFullName>
      </CaseParties>
      <CaseParties>
        <PartyTypeName>עד</PartyTypeName>
        <ProceedingType>כתב טענות עיקרי</ProceedingType>
        <PleaName>כתב אישום</PleaName>
        <PartyBelonging> - </PartyBelonging>
        <RoleName>עד בית משפט 9</RoleName>
        <IsSubProceeding>FALSE</IsSubProceeding>
        <FullName>זיו טייב</FullName>
        <FirstName>זיו</FirstName>
        <LastName>טייב</LastName>
        <PartyPropertyName/>
        <AuthenticationTypeAndNumber>ת"ז 212399265</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255029018</CasePartyID>
        <PartyTypeID>4</PartyTypeID>
        <ActivityStatusID>1</ActivityStatusID>
        <PartyAliasID>101</PartyAliasID>
        <PartyAliasName>עד בית משפט</PartyAliasName>
        <OrdinalNumber>9</OrdinalNumber>
        <LegalEntityID>81184144</LegalEntityID>
        <CaseLegalEntityID>124149615</CaseLegalEntityID>
        <AuthenticationTypeID>1</AuthenticationTypeID>
        <AuthenticationTypeName>ת"ז</AuthenticationTypeName>
        <LegalEntityNumber>212399265</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כנרת 21 אשדוד </FullAddress>
        <EmailAddress>zivtaieb@gmail.com</EmailAddress>
        <MotionID>0</MotionID>
        <CasePleaID>0</CasePleaID>
        <FatherName>דניאל</FatherName>
        <LinkedCaseID>0</LinkedCaseID>
        <PartyID>1</PartyID>
        <CasePartyCategoryID>2</CasePartyCategoryID>
        <LegalEntityAddressID>87851702</LegalEntityAddressID>
        <LegalEntityEmailAddressID>68263515</LegalEntityEmailAddressID>
        <PleaTypeID>8</PleaTypeID>
        <GroupPartyAlias/>
        <IsConverted>false</IsConverted>
        <LegalEntityRegisteredNameID>10324301</LegalEntityRegisteredNameID>
        <LegalEntityNameID>94786283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זיו טייב</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בריאן אוריאל סחנובצקי</FullName>
        <FirstName>בריאן אוריאל</FirstName>
        <LastName>סחנובצקי</LastName>
        <PartyPropertyName/>
        <AuthenticationTypeAndNumber>ת"ז 324426899</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255060467</CasePartyID>
        <PartyTypeID>4</PartyTypeID>
        <ActivityStatusID>1</ActivityStatusID>
        <PartyAliasID>71</PartyAliasID>
        <PartyAliasName>עד מאשימה</PartyAliasName>
        <OrdinalNumber>16</OrdinalNumber>
        <LegalEntityID>71276230</LegalEntityID>
        <CaseLegalEntityID>124158183</CaseLegalEntityID>
        <AuthenticationTypeID>1</AuthenticationTypeID>
        <AuthenticationTypeName>ת"ז</AuthenticationTypeName>
        <LegalEntityNumber>324426899</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רוגוזין 27/84 אשדוד </FullAddress>
        <MotionID>0</MotionID>
        <CasePleaID>0</CasePleaID>
        <FatherName>לואיס מריו</FatherName>
        <LinkedCaseID>0</LinkedCaseID>
        <PartyID>1</PartyID>
        <CasePartyCategoryID>2</CasePartyCategoryID>
        <LegalEntityAddressID>87854023</LegalEntityAddressID>
        <GrandfatherName/>
        <DrivingLicenseNumber>8995071</DrivingLicenseNumber>
        <PleaTypeID>8</PleaTypeID>
        <GroupPartyAlias/>
        <IsConverted>false</IsConverted>
        <LegalEntityRegisteredNameID>9917778</LegalEntityRegisteredNameID>
        <LegalEntityNameID>94789586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בריאן אוריאל סחנובצקי</PublicationProhibitedFullName>
      </CaseParties>
    </CasePartiesSelectionDS>
    <DecisionName>גזר דין  שניתנה ע"י  רחל תורן</DecisionName>
    <CourtDisplayName>בית המשפט המחוזי בבאר שבע</CourtDisplayName>
    <IsCaseJudgePanel>true</IsCaseJudgePanel>
    <DecisionSignatureDate>2024-05-28T16:39:41.7436363+03:00</DecisionSignatureDate>
    <OpenCaseDate>2022-04-18T11:26:00+03:00</OpenCaseDate>
    <ExternalCaseNumber>2170/2022</ExternalCaseNumber>
    <DecisionTypeID>4</DecisionTypeID>
    <DecisionSignatureUserName>רחל תורן</DecisionSignatureUserName>
    <DecisionSignatureDateHebrew>2024-05-28T16:39:41.7436363+03:00</DecisionSignatureDateHebrew>
    <DecisionWriterID>057182677@GOV.IL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מדינת ישראל נ' חזן</CaseName>
    <DecisionNumberInCase>30</DecisionNumberInCase>
  </dt_Decision>
  <dt_DecisionCase>
    <DecisionID>0</DecisionID>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שב"ס – צפייה בתיקים</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248139919</CasePartyID>
        <PartyTypeID>3</PartyTypeID>
        <ActivityStatusID>1</ActivityStatusID>
        <LegalEntityID>7551403</LegalEntityID>
        <CaseLegalEntityID>122027533</CaseLegalEntityID>
        <AssistantRoleID>101</AssistantRoleID>
        <AuthenticationTypeID>13</AuthenticationTypeID>
        <AuthenticationTypeName>משרדי ממשלה</AuthenticationTypeName>
        <LegalEntityNumber>513442041</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המרכז להערכת מסוכנות</FullName>
        <LastName>המרכז להערכת מסוכנות</LastName>
        <PartyPropertyName/>
        <AuthenticationTypeAndNumber>משרדי ממשלה 520024664</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266056537</CasePartyID>
        <PartyTypeID>3</PartyTypeID>
        <ActivityStatusID>1</ActivityStatusID>
        <LegalEntityID>7562533</LegalEntityID>
        <CaseLegalEntityID>127681653</CaseLegalEntityID>
        <AssistantRoleID>33</AssistantRoleID>
        <AuthenticationTypeID>13</AuthenticationTypeID>
        <AuthenticationTypeName>משרדי ממשלה</AuthenticationTypeName>
        <LegalEntityNumber>520024664</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יצחק רבין 1 ת.ד 1 באר יעקב </FullAddress>
        <EmailAddress>mesukanut@MOH.GOV.IL</EmailAddress>
        <MotionID>0</MotionID>
        <CasePleaID>0</CasePleaID>
        <LinkedCaseID>0</LinkedCaseID>
        <PartyID>1</PartyID>
        <CasePartyCategoryID>2</CasePartyCategoryID>
        <LegalEntityAddressID>80342512</LegalEntityAddressID>
        <LegalEntityEmailAddressID>68315414</LegalEntityEmailAddressID>
        <PleaTypeID>8</PleaTypeID>
        <GroupPartyAlias/>
        <IsConverted>false</IsConverted>
        <LegalEntityRegisteredNameID>416292</LegalEntityRegisteredNameID>
        <RepresentatedNamesOfAssistant/>
        <LegalEntityTypeID>3</LegalEntityTypeID>
        <IsVerdictExists>false</IsVerdictExists>
        <IsAsirAzir>false</IsAsirAzir>
        <IsPublicationProhibited>false</IsPublicationProhibited>
        <PublicationProhibitedFullName>המרכז להערכת מסוכנות</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ליאורה אוקראינסקי</FullName>
        <FirstName>ליאורה</FirstName>
        <LastName>אוקראינסקי</LastName>
        <PartyPropertyName/>
        <AuthenticationTypeAndNumber>ת"ז 216955146</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240053546</CasePartyID>
        <PartyTypeID>3</PartyTypeID>
        <ActivityStatusID>1</ActivityStatusID>
        <LegalEntityID>80449028</LegalEntityID>
        <CaseLegalEntityID>119471012</CaseLegalEntityID>
        <AssistantRoleID>12</AssistantRoleID>
        <AuthenticationTypeID>1</AuthenticationTypeID>
        <AuthenticationTypeName>ת"ז</AuthenticationTypeName>
        <LegalEntityNumber>216955146</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סייפן 10 אשדוד </FullAddress>
        <MotionID>0</MotionID>
        <CasePleaID>0</CasePleaID>
        <BirthDate>2008-02-14T00:00:00+02:00</BirthDate>
        <FatherName>דמיטרי</FatherName>
        <LinkedCaseID>0</LinkedCaseID>
        <PartyID>1</PartyID>
        <CasePartyCategoryID>2</CasePartyCategoryID>
        <LegalEntityAddressID>86421269</LegalEntityAddressID>
        <PleaTypeID>8</PleaTypeID>
        <GroupPartyAlias/>
        <IsConverted>false</IsConverted>
        <LegalEntityRegisteredNameID>9891695</LegalEntityRegisteredNameID>
        <LegalEntityNameID>92995837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ליאורה אוקראינסקי</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תמרה מישל אוקראינסקי</FullName>
        <FirstName>תמרה מישל</FirstName>
        <LastName>אוקראינסקי</LastName>
        <PartyPropertyName/>
        <AuthenticationTypeAndNumber>ת"ז 322083767</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240460281</CasePartyID>
        <PartyTypeID>3</PartyTypeID>
        <ActivityStatusID>1</ActivityStatusID>
        <LegalEntityID>34575841</LegalEntityID>
        <CaseLegalEntityID>119598352</CaseLegalEntityID>
        <AssistantRoleID>40</AssistantRoleID>
        <AuthenticationTypeID>1</AuthenticationTypeID>
        <AuthenticationTypeName>ת"ז</AuthenticationTypeName>
        <LegalEntityNumber>322083767</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סייפן 10 אשדוד </FullAddress>
        <MotionID>0</MotionID>
        <CasePleaID>0</CasePleaID>
        <FatherName>דוד</FatherName>
        <LinkedCaseID>0</LinkedCaseID>
        <PartyID>1</PartyID>
        <CasePartyCategoryID>2</CasePartyCategoryID>
        <LegalEntityAddressID>86458524</LegalEntityAddressID>
        <PleaTypeID>8</PleaTypeID>
        <GroupPartyAlias/>
        <IsConverted>false</IsConverted>
        <LegalEntityRegisteredNameID>9518073</LegalEntityRegisteredNameID>
        <LegalEntityNameID>93044724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תמרה מישל אוקראינסקי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אנגלינה טרסנקו</FullName>
        <FirstName>אנגלינה</FirstName>
        <LastName>טרסנקו</LastName>
        <PartyPropertyName/>
        <AuthenticationTypeAndNumber>ת"ז 332623917</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240053360</CasePartyID>
        <PartyTypeID>3</PartyTypeID>
        <ActivityStatusID>1</ActivityStatusID>
        <LegalEntityID>75403158</LegalEntityID>
        <CaseLegalEntityID>119470984</CaseLegalEntityID>
        <AssistantRoleID>12</AssistantRoleID>
        <AuthenticationTypeID>1</AuthenticationTypeID>
        <AuthenticationTypeName>ת"ז</AuthenticationTypeName>
        <LegalEntityNumber>332623917</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מבוא הסיפן 10/76 אשדוד </FullAddress>
        <MotionID>0</MotionID>
        <CasePleaID>0</CasePleaID>
        <FatherName>ויקטור</FatherName>
        <LinkedCaseID>0</LinkedCaseID>
        <PartyID>1</PartyID>
        <CasePartyCategoryID>2</CasePartyCategoryID>
        <LegalEntityAddressID>86421254</LegalEntityAddressID>
        <PleaTypeID>8</PleaTypeID>
        <GroupPartyAlias/>
        <IsConverted>false</IsConverted>
        <LegalEntityRegisteredNameID>9891691</LegalEntityRegisteredNameID>
        <LegalEntityNameID>92995823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אנגלינה טרסנקו</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נטלי נטשה זרביב</FullName>
        <FirstName>נטלי</FirstName>
        <LastName>זרביב</LastName>
        <PartyPropertyName/>
        <AuthenticationTypeAndNumber>ת"ז 212331110</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240053513</CasePartyID>
        <PartyTypeID>3</PartyTypeID>
        <ActivityStatusID>1</ActivityStatusID>
        <LegalEntityID>80449026</LegalEntityID>
        <CaseLegalEntityID>119471002</CaseLegalEntityID>
        <AssistantRoleID>12</AssistantRoleID>
        <AuthenticationTypeID>1</AuthenticationTypeID>
        <AuthenticationTypeName>ת"ז</AuthenticationTypeName>
        <LegalEntityNumber>212331110</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הציונות 79/8 אשדוד </FullAddress>
        <MotionID>0</MotionID>
        <CasePleaID>0</CasePleaID>
        <FatherName>יורם רחמים</FatherName>
        <LinkedCaseID>0</LinkedCaseID>
        <PartyID>1</PartyID>
        <CasePartyCategoryID>2</CasePartyCategoryID>
        <LegalEntityAddressID>86421265</LegalEntityAddressID>
        <PleaTypeID>8</PleaTypeID>
        <GroupPartyAlias/>
        <IsConverted>false</IsConverted>
        <LegalEntityRegisteredNameID>9891694</LegalEntityRegisteredNameID>
        <LegalEntityNameID>92995836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נטשה זרביב</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כריסטינה צצבשוילי</FullName>
        <FirstName>כריסטינה</FirstName>
        <LastName>צצבשוילי</LastName>
        <PartyPropertyName/>
        <AuthenticationTypeAndNumber>ת"ז 323316471</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240053401</CasePartyID>
        <PartyTypeID>3</PartyTypeID>
        <ActivityStatusID>1</ActivityStatusID>
        <OrdinalNumber>1</OrdinalNumber>
        <LegalEntityID>80449023</LegalEntityID>
        <CaseLegalEntityID>119470991</CaseLegalEntityID>
        <AssistantRoleID>12</AssistantRoleID>
        <AuthenticationTypeID>1</AuthenticationTypeID>
        <AuthenticationTypeName>ת"ז</AuthenticationTypeName>
        <LegalEntityNumber>323316471</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צדקת יוסף 2 אשדוד </FullAddress>
        <MotionID>0</MotionID>
        <CasePleaID>0</CasePleaID>
        <FatherName>ממוקה</FatherName>
        <LinkedCaseID>0</LinkedCaseID>
        <PartyID>1</PartyID>
        <CasePartyCategoryID>2</CasePartyCategoryID>
        <LegalEntityAddressID>86421258</LegalEntityAddressID>
        <PleaTypeID>8</PleaTypeID>
        <GroupPartyAlias/>
        <IsConverted>false</IsConverted>
        <LegalEntityRegisteredNameID>9891693</LegalEntityRegisteredNameID>
        <LegalEntityNameID>92995828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כריסטינה צצבשוילי</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240051311</CasePartyID>
        <PartyTypeID>1</PartyTypeID>
        <ActivityStatusID>1</ActivityStatusID>
        <PartyAliasID>11</PartyAliasID>
        <PartyAliasName>מאשימה</PartyAliasName>
        <OrdinalNumber>1</OrdinalNumber>
        <LegalEntityID>4</LegalEntityID>
        <CaseLegalEntityID>119470331</CaseLegalEntityID>
        <AuthenticationTypeID>41</AuthenticationTypeID>
        <AuthenticationTypeName>מדינת ישראל </AuthenticationTypeName>
        <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יוסי בוקר</FullName>
        <FirstName>יוסי</FirstName>
        <LastName>בוקר</LastName>
        <PartyPropertyName/>
        <AuthenticationTypeAndNumber>מ.ר. 64301</AuthenticationTypeAndNumber>
        <RepresentatedOrRepresentativesNames>ברנרד אמיר יהוד חזן</RepresentatedOrRepresentativesNames>
        <RepresentatedOrRepresentativesCount>1</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240503232</CasePartyID>
        <PartyTypeID>2</PartyTypeID>
        <ActivityStatusID>1</ActivityStatusID>
        <PartyAliasID>32</PartyAliasID>
        <PartyAliasName>בא כוח נאשמים</PartyAliasName>
        <OrdinalNumber>1</OrdinalNumber>
        <LegalEntityID>72283796</LegalEntityID>
        <CaseLegalEntityID>119608869</CaseLegalEntityID>
        <AuthenticationTypeID>4</AuthenticationTypeID>
        <AuthenticationTypeName>מ.ר.</AuthenticationTypeName>
        <LegalEntityNumber>64301</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מוטי קינד 2 רחובות משרד 606</FullAddress>
        <EmailAddress>bokerlawoffice@gmail.com</EmailAddress>
        <MotionID>0</MotionID>
        <CasePleaID>0</CasePleaID>
        <LinkedCaseID>0</LinkedCaseID>
        <PartyID>2</PartyID>
        <CasePartyCategoryID>2</CasePartyCategoryID>
        <LegalEntityAddressID>88139418</LegalEntityAddressID>
        <LegalEntityEmailAddressID>67924509</LegalEntityEmailAddressID>
        <PleaTypeID>8</PleaTypeID>
        <LawyerOfficeName>משרד עו"ד יוסי בוקר</LawyerOfficeName>
        <LawyerOfficeID>72283797</LawyerOfficeID>
        <GroupPartyAlias/>
        <IsConverted>false</IsConverted>
        <LegalEntityNameID>76095011</LegalEntityNameID>
        <RepresentatedNamesOfAssistant/>
        <LegalEntityTypeID>4</LegalEntityTypeID>
        <IsVerdictExists>false</IsVerdictExists>
        <IsAsirAzir>false</IsAsirAzir>
        <IsPublicationProhibited>false</IsPublicationProhibited>
        <PublicationProhibitedFullName>יוסי בוקר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ברנרד אמיר יהוד חזן</FullName>
        <FirstName>ברנרד אמיר יהודה</FirstName>
        <LastName>חזן</LastName>
        <PartyPropertyName/>
        <AuthenticationTypeAndNumber>ת"ז 011924925</AuthenticationTypeAndNumber>
        <RepresentatedOrRepresentativesNames>יוסי בוקר</RepresentatedOrRepresentativesNames>
        <RepresentatedOrRepresentativesCount>1</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240051313</CasePartyID>
        <PartyTypeID>1</PartyTypeID>
        <ActivityStatusID>1</ActivityStatusID>
        <PartyAliasID>13</PartyAliasID>
        <PartyAliasName>נאשם</PartyAliasName>
        <OrdinalNumber>1</OrdinalNumber>
        <LegalEntityID>80417716</LegalEntityID>
        <CaseLegalEntityID>119470333</CaseLegalEntityID>
        <AuthenticationTypeID>1</AuthenticationTypeID>
        <AuthenticationTypeName>ת"ז</AuthenticationTypeName>
        <LegalEntityNumber>011924925</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גרינבוים 27/29 נתניה </FullAddress>
        <MotionID>0</MotionID>
        <CasePleaID>0</CasePleaID>
        <FatherName>מוריס</FatherName>
        <LinkedCaseID>0</LinkedCaseID>
        <PartyID>2</PartyID>
        <CasePartyCategoryID>2</CasePartyCategoryID>
        <LegalEntityAddressID>87640102</LegalEntityAddressID>
        <PleaTypeID>8</PleaTypeID>
        <GroupPartyAlias>נאשמים</GroupPartyAlias>
        <IsConverted>false</IsConverted>
        <LegalEntityRegisteredNameID>9873521</LegalEntityRegisteredNameID>
        <LegalEntityNameID>92995598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ברנרד אמיר יהוד חזן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248071550</CasePartyID>
        <PartyTypeID>2</PartyTypeID>
        <ActivityStatusID>1</ActivityStatusID>
        <PartyAliasID>30</PartyAliasID>
        <PartyAliasName>בא כוח מאשימה</PartyAliasName>
        <OrdinalNumber>2</OrdinalNumber>
        <LegalEntityID>404183</LegalEntityID>
        <CaseLegalEntityID>122005813</CaseLegalEntityID>
        <AuthenticationTypeID>4</AuthenticationTypeID>
        <AuthenticationTypeName>מ.ר.</AuthenticationTypeName>
        <LegalEntityNumber>27974</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נ.ז מתלוננת 2</FullName>
        <FirstName>נ.ז</FirstName>
        <LastName>מתלוננת 2</LastName>
        <PartyPropertyName/>
        <AuthenticationTypeAndNumber>ת"ז </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250083577</CasePartyID>
        <PartyTypeID>4</PartyTypeID>
        <ActivityStatusID>1</ActivityStatusID>
        <PartyAliasID>71</PartyAliasID>
        <PartyAliasName>עד מאשימה</PartyAliasName>
        <OrdinalNumber>2</OrdinalNumber>
        <LegalEntityID>80943583</LegalEntityID>
        <CaseLegalEntityID>122611200</CaseLegalEntityID>
        <AuthenticationTypeID>1</AuthenticationTypeID>
        <AuthenticationTypeName>ת"ז</AuthenticationTypeName>
        <IsMainPartyType>true</IsMainPartyType>
        <CaseDisplayIdentifier>33278-04-22</CaseDisplayIdentifier>
        <CaseTypeID>10284</CaseTypeID>
        <CaseTypeName>תיק פלילי פשע חמור עדות קטין נפגע עבירה (תפח"ע)</CaseTypeName>
        <CaseName>מדינת ישראל נ' חזן</CaseName>
        <FullAddress>באמצעות המאשימה</FullAddress>
        <MotionID>0</MotionID>
        <CasePleaID>0</CasePleaID>
        <LinkedCaseID>0</LinkedCaseID>
        <PartyID>1</PartyID>
        <CasePartyCategoryID>2</CasePartyCategoryID>
        <LegalEntityAddressID>87379543</LegalEntityAddressID>
        <PleaTypeID>8</PleaTypeID>
        <GroupPartyAlias/>
        <IsConverted>false</IsConverted>
        <LegalEntityNameID>94196464</LegalEntityNameID>
        <RepresentatedNamesOfAssistant/>
        <LegalEntityTypeID>1</LegalEntityTypeID>
        <IsVerdictExists>false</IsVerdictExists>
        <IsAsirAzir>false</IsAsirAzir>
        <IsPublicationProhibited>false</IsPublicationProhibited>
        <PublicationProhibitedFullName>נ.ז מתלוננת 2</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אלמוג אודיז</FullName>
        <FirstName>אלמוג</FirstName>
        <LastName>אודיז</LastName>
        <PartyPropertyName/>
        <AuthenticationTypeAndNumber>ת"ז 207205063</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255971167</CasePartyID>
        <PartyTypeID>4</PartyTypeID>
        <ActivityStatusID>1</ActivityStatusID>
        <PartyAliasID>101</PartyAliasID>
        <PartyAliasName>עד בית משפט</PartyAliasName>
        <OrdinalNumber>3</OrdinalNumber>
        <LegalEntityID>75916850</LegalEntityID>
        <CaseLegalEntityID>124438682</CaseLegalEntityID>
        <AuthenticationTypeID>1</AuthenticationTypeID>
        <AuthenticationTypeName>ת"ז</AuthenticationTypeName>
        <LegalEntityNumber>207205063</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הר חורב5 אשדוד </FullAddress>
        <MotionID>0</MotionID>
        <CasePleaID>0</CasePleaID>
        <FatherName>אליהו</FatherName>
        <LinkedCaseID>0</LinkedCaseID>
        <PartyID>1</PartyID>
        <CasePartyCategoryID>2</CasePartyCategoryID>
        <LegalEntityAddressID>87940692</LegalEntityAddressID>
        <GrandfatherName/>
        <DrivingLicenseNumber>9897153</DrivingLicenseNumber>
        <PleaTypeID>8</PleaTypeID>
        <GroupPartyAlias/>
        <IsConverted>false</IsConverted>
        <LegalEntityRegisteredNameID>5857289</LegalEntityRegisteredNameID>
        <LegalEntityNameID>94895662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אלמוג אודיז</PublicationProhibitedFullName>
      </CaseParties>
      <CaseParties>
        <PartyTypeName>עד</PartyTypeName>
        <ProceedingType>כתב טענות עיקרי</ProceedingType>
        <PleaName>כתב אישום</PleaName>
        <PartyBelonging> - </PartyBelonging>
        <RoleName>עד בית משפט 5</RoleName>
        <IsSubProceeding>FALSE</IsSubProceeding>
        <FullName>הלנה רוזנברג</FullName>
        <FirstName>הלנה</FirstName>
        <LastName>רוזנברג</LastName>
        <PartyPropertyName/>
        <AuthenticationTypeAndNumber>ת"ז 310678651</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251449781</CasePartyID>
        <PartyTypeID>4</PartyTypeID>
        <ActivityStatusID>1</ActivityStatusID>
        <PartyAliasID>101</PartyAliasID>
        <PartyAliasName>עד בית משפט</PartyAliasName>
        <OrdinalNumber>5</OrdinalNumber>
        <LegalEntityID>81011290</LegalEntityID>
        <CaseLegalEntityID>123038515</CaseLegalEntityID>
        <AuthenticationTypeID>1</AuthenticationTypeID>
        <AuthenticationTypeName>ת"ז</AuthenticationTypeName>
        <LegalEntityNumber>310678651</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כוכב הדרום 7/15 אשדוד </FullAddress>
        <MotionID>0</MotionID>
        <CasePleaID>0</CasePleaID>
        <FatherName>ישראל</FatherName>
        <LinkedCaseID>0</LinkedCaseID>
        <PartyID>1</PartyID>
        <CasePartyCategoryID>2</CasePartyCategoryID>
        <LegalEntityAddressID>87559485</LegalEntityAddressID>
        <PleaTypeID>8</PleaTypeID>
        <GroupPartyAlias/>
        <IsConverted>false</IsConverted>
        <LegalEntityRegisteredNameID>10220859</LegalEntityRegisteredNameID>
        <LegalEntityNameID>94362033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הלנה רוזנברג</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יבגניה דמצ'נקו</FullName>
        <FirstName>יבגניה</FirstName>
        <LastName>דמצ'נקו</LastName>
        <PartyPropertyName/>
        <AuthenticationTypeAndNumber>ת"ז 332623909</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256078579</CasePartyID>
        <PartyTypeID>4</PartyTypeID>
        <ActivityStatusID>1</ActivityStatusID>
        <PartyAliasID>101</PartyAliasID>
        <PartyAliasName>עד בית משפט</PartyAliasName>
        <OrdinalNumber>6</OrdinalNumber>
        <LegalEntityID>81233447</LegalEntityID>
        <CaseLegalEntityID>124472124</CaseLegalEntityID>
        <AuthenticationTypeID>1</AuthenticationTypeID>
        <AuthenticationTypeName>ת"ז</AuthenticationTypeName>
        <LegalEntityNumber>332623909</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הסייפן 10/76 אשדוד </FullAddress>
        <MotionID>0</MotionID>
        <CasePleaID>0</CasePleaID>
        <FatherName>דוד</FatherName>
        <LinkedCaseID>0</LinkedCaseID>
        <PartyID>1</PartyID>
        <CasePartyCategoryID>2</CasePartyCategoryID>
        <LegalEntityAddressID>87951088</LegalEntityAddressID>
        <PleaTypeID>8</PleaTypeID>
        <GroupPartyAlias/>
        <IsConverted>false</IsConverted>
        <LegalEntityRegisteredNameID>10353943</LegalEntityRegisteredNameID>
        <LegalEntityNameID>94908278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יבגניה דמצ'נקו</PublicationProhibitedFullName>
      </CaseParties>
      <CaseParties>
        <PartyTypeName>עד</PartyTypeName>
        <ProceedingType>כתב טענות עיקרי</ProceedingType>
        <PleaName>כתב אישום</PleaName>
        <PartyBelonging> - </PartyBelonging>
        <RoleName>עד בית משפט 7</RoleName>
        <IsSubProceeding>FALSE</IsSubProceeding>
        <FullName>ילנה גלוזמן</FullName>
        <FirstName>ילנה</FirstName>
        <LastName>גלוזמן</LastName>
        <PartyPropertyName/>
        <AuthenticationTypeAndNumber>ת"ז 306576968</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253512730</CasePartyID>
        <PartyTypeID>4</PartyTypeID>
        <ActivityStatusID>1</ActivityStatusID>
        <PartyAliasID>101</PartyAliasID>
        <PartyAliasName>עד בית משפט</PartyAliasName>
        <OrdinalNumber>7</OrdinalNumber>
        <LegalEntityID>34526910</LegalEntityID>
        <CaseLegalEntityID>123678431</CaseLegalEntityID>
        <AuthenticationTypeID>1</AuthenticationTypeID>
        <AuthenticationTypeName>ת"ז</AuthenticationTypeName>
        <LegalEntityNumber>306576968</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אריק אנשטיין2/34 אשדוד </FullAddress>
        <MotionID>0</MotionID>
        <CasePleaID>0</CasePleaID>
        <FatherName>מרק</FatherName>
        <LinkedCaseID>0</LinkedCaseID>
        <PartyID>1</PartyID>
        <CasePartyCategoryID>2</CasePartyCategoryID>
        <LegalEntityAddressID>87709195</LegalEntityAddressID>
        <PleaTypeID>8</PleaTypeID>
        <GroupPartyAlias/>
        <IsConverted>false</IsConverted>
        <LegalEntityRegisteredNameID>6839826</LegalEntityRegisteredNameID>
        <LegalEntityNameID>94605948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ילנה גלוזמן</PublicationProhibitedFullName>
      </CaseParties>
      <CaseParties>
        <PartyTypeName>עד</PartyTypeName>
        <ProceedingType>כתב טענות עיקרי</ProceedingType>
        <PleaName>כתב אישום</PleaName>
        <PartyBelonging> - </PartyBelonging>
        <RoleName>עד בית משפט 9</RoleName>
        <IsSubProceeding>FALSE</IsSubProceeding>
        <FullName>זיו טייב</FullName>
        <FirstName>זיו</FirstName>
        <LastName>טייב</LastName>
        <PartyPropertyName/>
        <AuthenticationTypeAndNumber>ת"ז 212399265</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255029018</CasePartyID>
        <PartyTypeID>4</PartyTypeID>
        <ActivityStatusID>1</ActivityStatusID>
        <PartyAliasID>101</PartyAliasID>
        <PartyAliasName>עד בית משפט</PartyAliasName>
        <OrdinalNumber>9</OrdinalNumber>
        <LegalEntityID>81184144</LegalEntityID>
        <CaseLegalEntityID>124149615</CaseLegalEntityID>
        <AuthenticationTypeID>1</AuthenticationTypeID>
        <AuthenticationTypeName>ת"ז</AuthenticationTypeName>
        <LegalEntityNumber>212399265</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כנרת 21 אשדוד </FullAddress>
        <EmailAddress>zivtaieb@gmail.com</EmailAddress>
        <MotionID>0</MotionID>
        <CasePleaID>0</CasePleaID>
        <FatherName>דניאל</FatherName>
        <LinkedCaseID>0</LinkedCaseID>
        <PartyID>1</PartyID>
        <CasePartyCategoryID>2</CasePartyCategoryID>
        <LegalEntityAddressID>87851702</LegalEntityAddressID>
        <LegalEntityEmailAddressID>68263515</LegalEntityEmailAddressID>
        <PleaTypeID>8</PleaTypeID>
        <GroupPartyAlias/>
        <IsConverted>false</IsConverted>
        <LegalEntityRegisteredNameID>10324301</LegalEntityRegisteredNameID>
        <LegalEntityNameID>94786283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זיו טייב</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בריאן אוריאל סחנובצקי</FullName>
        <FirstName>בריאן אוריאל</FirstName>
        <LastName>סחנובצקי</LastName>
        <PartyPropertyName/>
        <AuthenticationTypeAndNumber>ת"ז 324426899</AuthenticationTypeAndNumber>
        <RepresentatedOrRepresentativesNames/>
        <RepresentatedOrRepresentativesCount>0</RepresentatedOrRepresentativesCount>
        <InvitedBy/>
        <CaseID>79213267</CaseID>
        <CaseJudicialPersonPresentationDS>
          <CaseJudicalPersonActive>
            <CaseID>79213267</CaseID>
            <JudicialPersonID>013017884@GOV.IL</JudicialPersonID>
            <JudicialPersonTypeID>1</JudicialPersonTypeID>
            <JudicialTypeID>3</JudicialTypeID>
            <IsChairman>true</IsChairman>
            <TreatmentStartDate>2022-04-25T13:58:25.36+03:00</TreatmentStartDate>
            <TreatmentFinishDate>9999-12-31T23:59:59.997+02:00</TreatmentFinishDate>
            <IdentificationCardNumber>013017884</IdentificationCardNumber>
            <DisplayName>יעל רז-לוי</DisplayName>
            <JudicialTypeName>הרכב שופטים</JudicialTypeName>
            <CaseJudicialGroupNumber>495308</CaseJudicialGroupNumber>
            <FirstName>יעל</FirstName>
            <LastName>רז-לוי</LastName>
            <JudicialPersonTitle>שופט</JudicialPersonTitle>
          </CaseJudicalPersonActive>
          <CaseJudicalPersonActive>
            <CaseID>79213267</CaseID>
            <JudicialPersonID>055542435@GOV.IL</JudicialPersonID>
            <JudicialPersonTypeID>1</JudicialPersonTypeID>
            <JudicialTypeID>3</JudicialTypeID>
            <IsChairman>false</IsChairman>
            <TreatmentStartDate>2022-04-25T13:58:25.36+03:00</TreatmentStartDate>
            <TreatmentFinishDate>9999-12-31T23:59:59.997+02:00</TreatmentFinishDate>
            <IdentificationCardNumber>055542435</IdentificationCardNumber>
            <DisplayName>אהרון משניות</DisplayName>
            <JudicialTypeName>הרכב שופטים</JudicialTypeName>
            <CaseJudicialGroupNumber>495308</CaseJudicialGroupNumber>
            <FirstName>אהרון</FirstName>
            <LastName>משניות</LastName>
            <JudicialPersonTitle>שופט</JudicialPersonTitle>
          </CaseJudicalPersonActive>
          <CaseJudicalPersonActive>
            <CaseID>79213267</CaseID>
            <JudicialPersonID>057182677@GOV.IL</JudicialPersonID>
            <JudicialPersonTypeID>1</JudicialPersonTypeID>
            <JudicialTypeID>3</JudicialTypeID>
            <IsChairman>false</IsChairman>
            <TreatmentStartDate>2022-04-25T13:58:25.36+03:00</TreatmentStartDate>
            <TreatmentFinishDate>9999-12-31T23:59:59.997+02:00</TreatmentFinishDate>
            <IdentificationCardNumber>057182677</IdentificationCardNumber>
            <DisplayName>רחל תורן</DisplayName>
            <JudicialTypeName>הרכב שופטים</JudicialTypeName>
            <CaseJudicialGroupNumber>495308</CaseJudicialGroupNumber>
            <FirstName>רחל</FirstName>
            <LastName>תורן</LastName>
            <JudicialPersonTitle>שופט</JudicialPersonTitle>
          </CaseJudicalPersonActive>
        </CaseJudicialPersonPresentationDS>
        <CasePartyID>255060467</CasePartyID>
        <PartyTypeID>4</PartyTypeID>
        <ActivityStatusID>1</ActivityStatusID>
        <PartyAliasID>71</PartyAliasID>
        <PartyAliasName>עד מאשימה</PartyAliasName>
        <OrdinalNumber>16</OrdinalNumber>
        <LegalEntityID>71276230</LegalEntityID>
        <CaseLegalEntityID>124158183</CaseLegalEntityID>
        <AuthenticationTypeID>1</AuthenticationTypeID>
        <AuthenticationTypeName>ת"ז</AuthenticationTypeName>
        <LegalEntityNumber>324426899</LegalEntityNumber>
        <IsMainPartyType>true</IsMainPartyType>
        <CaseDisplayIdentifier>33278-04-22</CaseDisplayIdentifier>
        <CaseTypeID>10284</CaseTypeID>
        <CaseTypeName>תיק פלילי פשע חמור עדות קטין נפגע עבירה (תפח"ע)</CaseTypeName>
        <CaseName>מדינת ישראל נ' חזן</CaseName>
        <FullAddress>רוגוזין 27/84 אשדוד </FullAddress>
        <MotionID>0</MotionID>
        <CasePleaID>0</CasePleaID>
        <FatherName>לואיס מריו</FatherName>
        <LinkedCaseID>0</LinkedCaseID>
        <PartyID>1</PartyID>
        <CasePartyCategoryID>2</CasePartyCategoryID>
        <LegalEntityAddressID>87854023</LegalEntityAddressID>
        <GrandfatherName/>
        <DrivingLicenseNumber>8995071</DrivingLicenseNumber>
        <PleaTypeID>8</PleaTypeID>
        <GroupPartyAlias/>
        <IsConverted>false</IsConverted>
        <LegalEntityRegisteredNameID>9917778</LegalEntityRegisteredNameID>
        <LegalEntityNameID>94789586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בריאן אוריאל סחנובצקי</PublicationProhibitedFullName>
      </CaseParties>
    </CasePartiesSelectionDS>
    <CaseName>מדינת ישראל נ' חזן</CaseName>
    <CaseDisplayIdentifier>33278-04-22</CaseDisplayIdentifier>
    <CaseTypeShortName>תפח"ע</CaseTypeShortName>
  </dt_DecisionCase>
  <dt_DecisionJudgePanel>
    <JudgeID>013017884@GOV.IL</JudgeID>
    <DisplayName>רז-לוי</DisplayName>
    <RoleName>שופט</RoleName>
    <UserTitleName>שופטת, סגנית הנשיאה</UserTitleName>
  </dt_DecisionJudgePanel>
  <dt_DecisionJudgePanel>
    <JudgeID>055542435@GOV.IL</JudgeID>
    <DisplayName>משניות</DisplayName>
    <RoleName>שופט</RoleName>
    <UserTitleName>שופט</UserTitleName>
  </dt_DecisionJudgePanel>
  <dt_DecisionJudgePanel>
    <JudgeID>057182677@GOV.IL</JudgeID>
    <DisplayName>תורן</DisplayName>
    <RoleName>שופט</RoleName>
    <UserTitleName>שופטת</UserTitleName>
  </dt_DecisionJudgePanel>
  <dt_LegalEntityDetails>
    <Fax/>
    <Phone/>
    <AddressDesc/>
    <PartyID>1</PartyID>
    <PartyTypeID>3</PartyTypeID>
    <DecisionID>0</DecisionID>
    <AssistantRoleID>12</AssistantRoleID>
    <StreetName>מבוא הסיפן 10/76</StreetName>
    <CityName>אשדוד</CityName>
    <FullName>אנגלינה טרסנקו</FullName>
    <Email/>
    <IsPublicationProhibited>false</IsPublicationProhibited>
  </dt_LegalEntityDetails>
  <dt_LegalEntityDetails>
    <Fax/>
    <Phone/>
    <AddressDesc/>
    <PartyID>1</PartyID>
    <PartyTypeID>3</PartyTypeID>
    <DecisionID>0</DecisionID>
    <AssistantRoleID>12</AssistantRoleID>
    <StreetName>הציונות 79/8</StreetName>
    <CityName>אשדוד</CityName>
    <FullName>נטלי נטשה זרביב</FullName>
    <Email/>
    <IsPublicationProhibited>false</IsPublicationProhibited>
  </dt_LegalEntityDetails>
  <dt_LegalEntityDetails>
    <Fax/>
    <Phone/>
    <AddressDesc/>
    <PartyID>1</PartyID>
    <PartyTypeID>3</PartyTypeID>
    <DecisionID>0</DecisionID>
    <AssistantRoleID>12</AssistantRoleID>
    <StreetName>סייפן 10</StreetName>
    <CityName>אשדוד</CityName>
    <FullName>ליאורה אוקראינסקי</FullName>
    <Email/>
    <IsPublicationProhibited>false</IsPublicationProhibited>
  </dt_LegalEntityDetails>
  <dt_LegalEntityDetails>
    <Fax/>
    <Phone/>
    <AddressDesc/>
    <PartyID>1</PartyID>
    <PartyTypeID>3</PartyTypeID>
    <DecisionID>0</DecisionID>
    <AssistantRoleID>40</AssistantRoleID>
    <StreetName>סייפן 10</StreetName>
    <CityName>אשדוד</CityName>
    <FullName>תמרה מישל אוקראינסקי</FullName>
    <Email/>
    <IsPublicationProhibited>false</IsPublicationProhibited>
  </dt_LegalEntityDetails>
  <dt_LegalEntityDetails>
    <Fax>08-9193278</Fax>
    <Phone>074-7836666</Phone>
    <AddressDesc>המשרד לביטחון פנים, היחידה לתאום ופיקוח אלקטרוני</AddressDesc>
    <PartyID>1</PartyID>
    <PartyTypeID>3</PartyTypeID>
    <DecisionID>0</DecisionID>
    <AssistantRoleID>101</AssistantRoleID>
    <StreetName>נציבות שב"ס</StreetName>
    <ZipCode>97200</ZipCode>
    <CityName>רמלה</CityName>
    <FullName> שב"ס היחידה לתאום ופיקוח אלקטרוני פקא"ל</FullName>
    <Email>Mail089773278@ips.gov.il</Email>
    <IsPublicationProhibited>false</IsPublicationProhibited>
  </dt_LegalEntityDetails>
  <dt_LegalEntityDetails>
    <Fax>08-9258425</Fax>
    <Phone>08-9258426</Phone>
    <AddressDesc/>
    <PartyID>1</PartyID>
    <PartyTypeID>3</PartyTypeID>
    <DecisionID>0</DecisionID>
    <AssistantRoleID>33</AssistantRoleID>
    <StreetName>יצחק רבין 1 ת.ד 1</StreetName>
    <CityName>באר יעקב</CityName>
    <FullName> המרכז להערכת מסוכנות</FullName>
    <Email>mesukanut@MOH.GOV.IL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גרינבוים 27/29</StreetName>
    <CityName>נתניה</CityName>
    <FullName>ברנרד אמיר יהוד חזן</FullName>
    <IsPublicationProhibited>false</IsPublicationProhibited>
  </dt_LegalEntityDetails>
  <dt_LegalEntityDetails>
    <Fax/>
    <Phone/>
    <AddressDesc/>
    <PartyID>1</PartyID>
    <PartyTypeID>3</PartyTypeID>
    <DecisionID>0</DecisionID>
    <AssistantRoleID>12</AssistantRoleID>
    <StreetName>צדקת יוסף 2</StreetName>
    <CityName>אשדוד</CityName>
    <FullName>כריסטינה צצבשוילי</FullName>
    <Email/>
    <IsPublicationProhibited>false</IsPublicationProhibited>
  </dt_LegalEntityDetails>
  <dt_LegalEntityDetails>
    <Fax>077-5059003</Fax>
    <Phone>08-6424574</Phone>
    <AddressDesc>משרד 606</AddressDesc>
    <PartyID>2</PartyID>
    <PartyTypeID>2</PartyTypeID>
    <DecisionID>0</DecisionID>
    <StreetName>מוטי קינד 2</StreetName>
    <ZipCode>7638523</ZipCode>
    <CityName>רחובות</CityName>
    <FullName>יוסי בוקר</FullName>
    <Email>bokerlawoffice@gmail.com</Email>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סגנית הנשיאה יעל רז-לוי, שופט אהרון משניות, שופטת רחל תורן</CaseJudicalPerson>
  </dt_CaseJudicalPersonActive>
  <dt_Sitting>
    <PreviousMeetingDate>2024-05-28T13:00:00+03:00</PreviousMeetingDate>
    <PreviousSittingTypeID>15</PreviousSittingTypeID>
    <PreviousMeetingDisplayName>יעל רז-לוי, אהרון משניות, רחל תורן</PreviousMeetingDisplayName>
    <PreviousMeetingUserUPN>013017884@GOV.IL, 055542435@GOV.IL, 057182677@GOV.IL</PreviousMeetingUserUPN>
  </dt_Sitting>
</DecisionTemplateDS>
</file>

<file path=customXml/itemProps1.xml><?xml version="1.0" encoding="utf-8"?>
<ds:datastoreItem xmlns:ds="http://schemas.openxmlformats.org/officeDocument/2006/customXml" ds:itemID="{904487B9-24ED-4540-82DD-BCD6F80521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5935</Words>
  <Characters>29676</Characters>
  <Application>Microsoft Office Word</Application>
  <DocSecurity>0</DocSecurity>
  <Lines>247</Lines>
  <Paragraphs>71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2024-05-30T09:40:00Z</cp:lastPrinted>
  <dcterms:created xsi:type="dcterms:W3CDTF">2024-06-04T12:24:00Z</dcterms:created>
  <dcterms:modified xsi:type="dcterms:W3CDTF">2024-06-04T12:24:00Z</dcterms:modified>
</cp:coreProperties>
</file>